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BD57F" w14:textId="265B596D" w:rsidR="009131CF" w:rsidRPr="009131CF" w:rsidRDefault="009131CF" w:rsidP="009131CF">
      <w:pPr>
        <w:shd w:val="clear" w:color="auto" w:fill="FFFFFF"/>
        <w:spacing w:before="100" w:beforeAutospacing="1" w:after="100" w:afterAutospacing="1" w:line="240" w:lineRule="auto"/>
        <w:outlineLvl w:val="0"/>
        <w:rPr>
          <w:rFonts w:ascii="Roboto" w:eastAsia="Times New Roman" w:hAnsi="Roboto" w:cs="Times New Roman"/>
          <w:color w:val="212529"/>
          <w:kern w:val="36"/>
          <w:sz w:val="48"/>
          <w:szCs w:val="48"/>
        </w:rPr>
      </w:pPr>
      <w:r w:rsidRPr="009131CF">
        <w:rPr>
          <w:rFonts w:ascii="Roboto" w:eastAsia="Times New Roman" w:hAnsi="Roboto" w:cs="Times New Roman"/>
          <w:color w:val="212529"/>
          <w:kern w:val="36"/>
          <w:sz w:val="48"/>
          <w:szCs w:val="48"/>
        </w:rPr>
        <w:t>Temporary Assistance for Needy Families (TANF)</w:t>
      </w:r>
    </w:p>
    <w:p w14:paraId="6E1732D5" w14:textId="19826784" w:rsidR="009131CF" w:rsidRPr="009131CF" w:rsidRDefault="009131CF" w:rsidP="009131CF">
      <w:pPr>
        <w:shd w:val="clear" w:color="auto" w:fill="FFFFFF"/>
        <w:spacing w:before="100" w:beforeAutospacing="1" w:after="100" w:afterAutospacing="1" w:line="240" w:lineRule="auto"/>
        <w:outlineLvl w:val="0"/>
        <w:rPr>
          <w:rFonts w:ascii="Roboto" w:eastAsia="Times New Roman" w:hAnsi="Roboto" w:cs="Times New Roman"/>
          <w:color w:val="212529"/>
          <w:kern w:val="36"/>
          <w:sz w:val="48"/>
          <w:szCs w:val="48"/>
        </w:rPr>
      </w:pPr>
      <w:r w:rsidRPr="009131CF">
        <w:rPr>
          <w:rFonts w:ascii="Roboto" w:eastAsia="Times New Roman" w:hAnsi="Roboto" w:cs="Times New Roman"/>
          <w:color w:val="212529"/>
          <w:kern w:val="36"/>
          <w:sz w:val="48"/>
          <w:szCs w:val="48"/>
        </w:rPr>
        <w:t>Caseload Reduction Credit Methodology for FFY 202</w:t>
      </w:r>
      <w:r>
        <w:rPr>
          <w:rFonts w:ascii="Roboto" w:eastAsia="Times New Roman" w:hAnsi="Roboto" w:cs="Times New Roman"/>
          <w:color w:val="212529"/>
          <w:kern w:val="36"/>
          <w:sz w:val="48"/>
          <w:szCs w:val="48"/>
        </w:rPr>
        <w:t>2</w:t>
      </w:r>
    </w:p>
    <w:p w14:paraId="285D5619" w14:textId="49DE3EAC"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b/>
          <w:bCs/>
          <w:color w:val="212529"/>
          <w:sz w:val="24"/>
          <w:szCs w:val="24"/>
        </w:rPr>
        <w:t>Summary</w:t>
      </w:r>
    </w:p>
    <w:p w14:paraId="1FBCC1CB"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b/>
          <w:bCs/>
          <w:color w:val="212529"/>
          <w:sz w:val="24"/>
          <w:szCs w:val="24"/>
        </w:rPr>
        <w:t>Introduction</w:t>
      </w:r>
    </w:p>
    <w:p w14:paraId="276351E1"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The Deficit Reduction Act of 2005 (P.L. 109-171) reauthorized the Temporary Assistance for Needy Families (TANF) Program. As a condition of the receipt of the TANF grant, states are required to meet or exceed certain minimum Work Participation Rates (WPR): an overall rate and a two-parent rate. The overall work participation rate requires that fifty percent (50%) of all families receiving TANF assistance participate in work activities during the fiscal year. The second requires that ninety percent (90%) of two-parent families receiving TANF assistance during the fiscal year participate in work activities. States that successfully meet their work participation requirements receive a reduction in their maintenance-of-effort (MOE) requirement. Failure to meet the requirements may result in financial penalty to the state under federal regulations at 45 CFR 261.50.</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As part of the Deficit Reduction Act, the Secretary of the Department of Health and Human Services (DHHS) was directed to establish regulations to grant states a caseload reduction credit. This credit reduces a state's required WPR for the subsequent fiscal year by the number of percentage points its caseload declined between Federal Fiscal Year (FFY) 2005 and the comparison year, which is defined as the year prior to the current fiscal year. This adjusted target rate becomes the WPR that the state must meet to receive a reduced MOE requirement and to avoid penalty. </w:t>
      </w:r>
      <w:r w:rsidRPr="009131CF">
        <w:rPr>
          <w:rFonts w:ascii="Roboto" w:eastAsia="Times New Roman" w:hAnsi="Roboto" w:cs="Times New Roman"/>
          <w:color w:val="212529"/>
          <w:sz w:val="24"/>
          <w:szCs w:val="24"/>
        </w:rPr>
        <w:br/>
        <w:t> </w:t>
      </w:r>
    </w:p>
    <w:p w14:paraId="2848E301"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b/>
          <w:bCs/>
          <w:color w:val="212529"/>
          <w:sz w:val="24"/>
          <w:szCs w:val="24"/>
        </w:rPr>
        <w:t>Methodology</w:t>
      </w:r>
    </w:p>
    <w:p w14:paraId="0F397508" w14:textId="75B785DD"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Wisconsin’s FFY 202</w:t>
      </w:r>
      <w:r w:rsidR="006F3EA6">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 xml:space="preserve"> caseload reduction credit is based on a decline in caseload between FFY 2005 (the base year) and FFY 202</w:t>
      </w:r>
      <w:r w:rsidR="006F3EA6">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(the comparison year) divided by the base year caseload.</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To determine a caseload decline, first States must disregard any caseload decreases in the comparison year that are due to policy or program changes implemented since FFY 2005. For the calculation of the FFY 202</w:t>
      </w:r>
      <w:r w:rsidR="006F3EA6">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 xml:space="preserve"> caseload reduction credit, Wisconsin had no policy changes that affected the FFY 202</w:t>
      </w:r>
      <w:r w:rsidR="006F3EA6">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caseload compared to FFY 2005.</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lastRenderedPageBreak/>
        <w:br/>
        <w:t>States may also earn credits for any excess MOE they contribute toward the program. Wisconsin’s total TANF expenditures in FFY 202</w:t>
      </w:r>
      <w:r w:rsidR="00E166CB">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were $</w:t>
      </w:r>
      <w:r w:rsidR="00107372">
        <w:rPr>
          <w:rFonts w:ascii="Roboto" w:eastAsia="Times New Roman" w:hAnsi="Roboto" w:cs="Times New Roman"/>
          <w:color w:val="212529"/>
          <w:sz w:val="24"/>
          <w:szCs w:val="24"/>
        </w:rPr>
        <w:t xml:space="preserve">484,500,245 </w:t>
      </w:r>
      <w:r w:rsidRPr="009131CF">
        <w:rPr>
          <w:rFonts w:ascii="Roboto" w:eastAsia="Times New Roman" w:hAnsi="Roboto" w:cs="Times New Roman"/>
          <w:color w:val="212529"/>
          <w:sz w:val="24"/>
          <w:szCs w:val="24"/>
        </w:rPr>
        <w:t>of which $2</w:t>
      </w:r>
      <w:r w:rsidR="00042046">
        <w:rPr>
          <w:rFonts w:ascii="Roboto" w:eastAsia="Times New Roman" w:hAnsi="Roboto" w:cs="Times New Roman"/>
          <w:color w:val="212529"/>
          <w:sz w:val="24"/>
          <w:szCs w:val="24"/>
        </w:rPr>
        <w:t>57,549,837</w:t>
      </w:r>
      <w:r w:rsidRPr="009131CF">
        <w:rPr>
          <w:rFonts w:ascii="Roboto" w:eastAsia="Times New Roman" w:hAnsi="Roboto" w:cs="Times New Roman"/>
          <w:color w:val="212529"/>
          <w:sz w:val="24"/>
          <w:szCs w:val="24"/>
        </w:rPr>
        <w:t xml:space="preserve"> was the State’s MOE expenditures. Wisconsin</w:t>
      </w:r>
      <w:r w:rsidR="00042046">
        <w:rPr>
          <w:rFonts w:ascii="Roboto" w:eastAsia="Times New Roman" w:hAnsi="Roboto" w:cs="Times New Roman"/>
          <w:color w:val="212529"/>
          <w:sz w:val="24"/>
          <w:szCs w:val="24"/>
        </w:rPr>
        <w:t xml:space="preserve"> met</w:t>
      </w:r>
      <w:r w:rsidRPr="009131CF">
        <w:rPr>
          <w:rFonts w:ascii="Roboto" w:eastAsia="Times New Roman" w:hAnsi="Roboto" w:cs="Times New Roman"/>
          <w:color w:val="212529"/>
          <w:sz w:val="24"/>
          <w:szCs w:val="24"/>
        </w:rPr>
        <w:t xml:space="preserve"> all its FFY 202</w:t>
      </w:r>
      <w:r w:rsidR="00042046">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WPR requirements, its required MOE spending is </w:t>
      </w:r>
      <w:r w:rsidR="00755B25">
        <w:rPr>
          <w:rFonts w:ascii="Roboto" w:eastAsia="Times New Roman" w:hAnsi="Roboto" w:cs="Times New Roman"/>
          <w:color w:val="212529"/>
          <w:sz w:val="24"/>
          <w:szCs w:val="24"/>
        </w:rPr>
        <w:t>75</w:t>
      </w:r>
      <w:r w:rsidRPr="009131CF">
        <w:rPr>
          <w:rFonts w:ascii="Roboto" w:eastAsia="Times New Roman" w:hAnsi="Roboto" w:cs="Times New Roman"/>
          <w:color w:val="212529"/>
          <w:sz w:val="24"/>
          <w:szCs w:val="24"/>
        </w:rPr>
        <w:t>% of the historical spending on programming as calculated in FY2018, or $</w:t>
      </w:r>
      <w:r w:rsidR="002E1EF9">
        <w:rPr>
          <w:rFonts w:ascii="Roboto" w:eastAsia="Times New Roman" w:hAnsi="Roboto" w:cs="Times New Roman"/>
          <w:color w:val="212529"/>
          <w:sz w:val="24"/>
          <w:szCs w:val="24"/>
        </w:rPr>
        <w:t>166,938,253</w:t>
      </w:r>
      <w:r w:rsidRPr="009131CF">
        <w:rPr>
          <w:rFonts w:ascii="Roboto" w:eastAsia="Times New Roman" w:hAnsi="Roboto" w:cs="Times New Roman"/>
          <w:color w:val="212529"/>
          <w:sz w:val="24"/>
          <w:szCs w:val="24"/>
        </w:rPr>
        <w:t>. This results in an excess MOE expenditure for FFY 202</w:t>
      </w:r>
      <w:r w:rsidR="0024246F">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of $</w:t>
      </w:r>
      <w:r w:rsidR="00456202">
        <w:rPr>
          <w:rFonts w:ascii="Roboto" w:eastAsia="Times New Roman" w:hAnsi="Roboto" w:cs="Times New Roman"/>
          <w:color w:val="212529"/>
          <w:sz w:val="24"/>
          <w:szCs w:val="24"/>
        </w:rPr>
        <w:t>90</w:t>
      </w:r>
      <w:r w:rsidR="0067522C">
        <w:rPr>
          <w:rFonts w:ascii="Roboto" w:eastAsia="Times New Roman" w:hAnsi="Roboto" w:cs="Times New Roman"/>
          <w:color w:val="212529"/>
          <w:sz w:val="24"/>
          <w:szCs w:val="24"/>
        </w:rPr>
        <w:t>,</w:t>
      </w:r>
      <w:r w:rsidR="00456202">
        <w:rPr>
          <w:rFonts w:ascii="Roboto" w:eastAsia="Times New Roman" w:hAnsi="Roboto" w:cs="Times New Roman"/>
          <w:color w:val="212529"/>
          <w:sz w:val="24"/>
          <w:szCs w:val="24"/>
        </w:rPr>
        <w:t>611</w:t>
      </w:r>
      <w:r w:rsidR="0067522C">
        <w:rPr>
          <w:rFonts w:ascii="Roboto" w:eastAsia="Times New Roman" w:hAnsi="Roboto" w:cs="Times New Roman"/>
          <w:color w:val="212529"/>
          <w:sz w:val="24"/>
          <w:szCs w:val="24"/>
        </w:rPr>
        <w:t>,</w:t>
      </w:r>
      <w:r w:rsidR="00456202">
        <w:rPr>
          <w:rFonts w:ascii="Roboto" w:eastAsia="Times New Roman" w:hAnsi="Roboto" w:cs="Times New Roman"/>
          <w:color w:val="212529"/>
          <w:sz w:val="24"/>
          <w:szCs w:val="24"/>
        </w:rPr>
        <w:t>584</w:t>
      </w:r>
      <w:r w:rsidRPr="009131CF">
        <w:rPr>
          <w:rFonts w:ascii="Roboto" w:eastAsia="Times New Roman" w:hAnsi="Roboto" w:cs="Times New Roman"/>
          <w:color w:val="212529"/>
          <w:sz w:val="24"/>
          <w:szCs w:val="24"/>
        </w:rPr>
        <w:t>. All figures are based on the figures submitted in the federal Quarterly State TANF Financial Report (ACF-196).</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Wisconsin’s total TANF expenditures on assistance in FFY 202</w:t>
      </w:r>
      <w:r w:rsidR="0067522C">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was $</w:t>
      </w:r>
      <w:r w:rsidR="0067522C">
        <w:rPr>
          <w:rFonts w:ascii="Roboto" w:eastAsia="Times New Roman" w:hAnsi="Roboto" w:cs="Times New Roman"/>
          <w:color w:val="212529"/>
          <w:sz w:val="24"/>
          <w:szCs w:val="24"/>
        </w:rPr>
        <w:t>81,840,726</w:t>
      </w:r>
      <w:r w:rsidRPr="009131CF">
        <w:rPr>
          <w:rFonts w:ascii="Roboto" w:eastAsia="Times New Roman" w:hAnsi="Roboto" w:cs="Times New Roman"/>
          <w:color w:val="212529"/>
          <w:sz w:val="24"/>
          <w:szCs w:val="24"/>
        </w:rPr>
        <w:t xml:space="preserve"> which was 1</w:t>
      </w:r>
      <w:r w:rsidR="0067522C">
        <w:rPr>
          <w:rFonts w:ascii="Roboto" w:eastAsia="Times New Roman" w:hAnsi="Roboto" w:cs="Times New Roman"/>
          <w:color w:val="212529"/>
          <w:sz w:val="24"/>
          <w:szCs w:val="24"/>
        </w:rPr>
        <w:t>6</w:t>
      </w:r>
      <w:r w:rsidRPr="009131CF">
        <w:rPr>
          <w:rFonts w:ascii="Roboto" w:eastAsia="Times New Roman" w:hAnsi="Roboto" w:cs="Times New Roman"/>
          <w:color w:val="212529"/>
          <w:sz w:val="24"/>
          <w:szCs w:val="24"/>
        </w:rPr>
        <w:t>.</w:t>
      </w:r>
      <w:r w:rsidR="0067522C">
        <w:rPr>
          <w:rFonts w:ascii="Roboto" w:eastAsia="Times New Roman" w:hAnsi="Roboto" w:cs="Times New Roman"/>
          <w:color w:val="212529"/>
          <w:sz w:val="24"/>
          <w:szCs w:val="24"/>
        </w:rPr>
        <w:t>89</w:t>
      </w:r>
      <w:r w:rsidRPr="009131CF">
        <w:rPr>
          <w:rFonts w:ascii="Roboto" w:eastAsia="Times New Roman" w:hAnsi="Roboto" w:cs="Times New Roman"/>
          <w:color w:val="212529"/>
          <w:sz w:val="24"/>
          <w:szCs w:val="24"/>
        </w:rPr>
        <w:t>% of the total expenditures. Therefore, Wisconsin’s excess MOE expenditures on assistance are $1</w:t>
      </w:r>
      <w:r w:rsidR="00F56DBB">
        <w:rPr>
          <w:rFonts w:ascii="Roboto" w:eastAsia="Times New Roman" w:hAnsi="Roboto" w:cs="Times New Roman"/>
          <w:color w:val="212529"/>
          <w:sz w:val="24"/>
          <w:szCs w:val="24"/>
        </w:rPr>
        <w:t>3</w:t>
      </w:r>
      <w:r w:rsidRPr="009131CF">
        <w:rPr>
          <w:rFonts w:ascii="Roboto" w:eastAsia="Times New Roman" w:hAnsi="Roboto" w:cs="Times New Roman"/>
          <w:color w:val="212529"/>
          <w:sz w:val="24"/>
          <w:szCs w:val="24"/>
        </w:rPr>
        <w:t>,</w:t>
      </w:r>
      <w:r w:rsidR="00F56DBB">
        <w:rPr>
          <w:rFonts w:ascii="Roboto" w:eastAsia="Times New Roman" w:hAnsi="Roboto" w:cs="Times New Roman"/>
          <w:color w:val="212529"/>
          <w:sz w:val="24"/>
          <w:szCs w:val="24"/>
        </w:rPr>
        <w:t>425</w:t>
      </w:r>
      <w:r w:rsidRPr="009131CF">
        <w:rPr>
          <w:rFonts w:ascii="Roboto" w:eastAsia="Times New Roman" w:hAnsi="Roboto" w:cs="Times New Roman"/>
          <w:color w:val="212529"/>
          <w:sz w:val="24"/>
          <w:szCs w:val="24"/>
        </w:rPr>
        <w:t>,</w:t>
      </w:r>
      <w:r w:rsidR="00F56DBB">
        <w:rPr>
          <w:rFonts w:ascii="Roboto" w:eastAsia="Times New Roman" w:hAnsi="Roboto" w:cs="Times New Roman"/>
          <w:color w:val="212529"/>
          <w:sz w:val="24"/>
          <w:szCs w:val="24"/>
        </w:rPr>
        <w:t>988</w:t>
      </w:r>
      <w:r w:rsidRPr="009131CF">
        <w:rPr>
          <w:rFonts w:ascii="Roboto" w:eastAsia="Times New Roman" w:hAnsi="Roboto" w:cs="Times New Roman"/>
          <w:color w:val="212529"/>
          <w:sz w:val="24"/>
          <w:szCs w:val="24"/>
        </w:rPr>
        <w:t>. The average expenditure per case on assistance was $</w:t>
      </w:r>
      <w:r w:rsidR="00F56DBB">
        <w:rPr>
          <w:rFonts w:ascii="Roboto" w:eastAsia="Times New Roman" w:hAnsi="Roboto" w:cs="Times New Roman"/>
          <w:color w:val="212529"/>
          <w:sz w:val="24"/>
          <w:szCs w:val="24"/>
        </w:rPr>
        <w:t>5,194</w:t>
      </w:r>
      <w:r w:rsidRPr="009131CF">
        <w:rPr>
          <w:rFonts w:ascii="Roboto" w:eastAsia="Times New Roman" w:hAnsi="Roboto" w:cs="Times New Roman"/>
          <w:color w:val="212529"/>
          <w:sz w:val="24"/>
          <w:szCs w:val="24"/>
        </w:rPr>
        <w:t>. All caseload data is based on caseload data submitted in Section 3 of the Federal TANF and Separate State Program (SSP)-MOE Data Reports (ACF-199 and ACF 209).</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In FFY 202</w:t>
      </w:r>
      <w:r w:rsidR="00F56DBB">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there was a decrease of 14,</w:t>
      </w:r>
      <w:r w:rsidR="00337707">
        <w:rPr>
          <w:rFonts w:ascii="Roboto" w:eastAsia="Times New Roman" w:hAnsi="Roboto" w:cs="Times New Roman"/>
          <w:color w:val="212529"/>
          <w:sz w:val="24"/>
          <w:szCs w:val="24"/>
        </w:rPr>
        <w:t>991</w:t>
      </w:r>
      <w:r w:rsidRPr="009131CF">
        <w:rPr>
          <w:rFonts w:ascii="Roboto" w:eastAsia="Times New Roman" w:hAnsi="Roboto" w:cs="Times New Roman"/>
          <w:color w:val="212529"/>
          <w:sz w:val="24"/>
          <w:szCs w:val="24"/>
        </w:rPr>
        <w:t xml:space="preserve"> cases compared to the average monthly caseload of 20,721 cases in FFY 2005. States </w:t>
      </w:r>
      <w:proofErr w:type="gramStart"/>
      <w:r w:rsidRPr="009131CF">
        <w:rPr>
          <w:rFonts w:ascii="Roboto" w:eastAsia="Times New Roman" w:hAnsi="Roboto" w:cs="Times New Roman"/>
          <w:color w:val="212529"/>
          <w:sz w:val="24"/>
          <w:szCs w:val="24"/>
        </w:rPr>
        <w:t>are allowed to</w:t>
      </w:r>
      <w:proofErr w:type="gramEnd"/>
      <w:r w:rsidRPr="009131CF">
        <w:rPr>
          <w:rFonts w:ascii="Roboto" w:eastAsia="Times New Roman" w:hAnsi="Roboto" w:cs="Times New Roman"/>
          <w:color w:val="212529"/>
          <w:sz w:val="24"/>
          <w:szCs w:val="24"/>
        </w:rPr>
        <w:t xml:space="preserve"> exclude cases funded with excess MOE from their overall TANF caseload. Adjusting for the </w:t>
      </w:r>
      <w:r w:rsidR="00966674">
        <w:rPr>
          <w:rFonts w:ascii="Roboto" w:eastAsia="Times New Roman" w:hAnsi="Roboto" w:cs="Times New Roman"/>
          <w:color w:val="212529"/>
          <w:sz w:val="24"/>
          <w:szCs w:val="24"/>
        </w:rPr>
        <w:t>2,947</w:t>
      </w:r>
      <w:r w:rsidRPr="009131CF">
        <w:rPr>
          <w:rFonts w:ascii="Roboto" w:eastAsia="Times New Roman" w:hAnsi="Roboto" w:cs="Times New Roman"/>
          <w:color w:val="212529"/>
          <w:sz w:val="24"/>
          <w:szCs w:val="24"/>
        </w:rPr>
        <w:t xml:space="preserve"> assistance cases funded by excess MOE resulted in an adjusted caseload decline of 1</w:t>
      </w:r>
      <w:r w:rsidR="00337707">
        <w:rPr>
          <w:rFonts w:ascii="Roboto" w:eastAsia="Times New Roman" w:hAnsi="Roboto" w:cs="Times New Roman"/>
          <w:color w:val="212529"/>
          <w:sz w:val="24"/>
          <w:szCs w:val="24"/>
        </w:rPr>
        <w:t>2,</w:t>
      </w:r>
      <w:r w:rsidR="00966674">
        <w:rPr>
          <w:rFonts w:ascii="Roboto" w:eastAsia="Times New Roman" w:hAnsi="Roboto" w:cs="Times New Roman"/>
          <w:color w:val="212529"/>
          <w:sz w:val="24"/>
          <w:szCs w:val="24"/>
        </w:rPr>
        <w:t>811</w:t>
      </w:r>
      <w:r w:rsidRPr="009131CF">
        <w:rPr>
          <w:rFonts w:ascii="Roboto" w:eastAsia="Times New Roman" w:hAnsi="Roboto" w:cs="Times New Roman"/>
          <w:color w:val="212529"/>
          <w:sz w:val="24"/>
          <w:szCs w:val="24"/>
        </w:rPr>
        <w:t xml:space="preserve"> cases (for a Caseload Reduction Credit of </w:t>
      </w:r>
      <w:r w:rsidR="004A2F91">
        <w:rPr>
          <w:rFonts w:ascii="Roboto" w:eastAsia="Times New Roman" w:hAnsi="Roboto" w:cs="Times New Roman"/>
          <w:color w:val="212529"/>
          <w:sz w:val="24"/>
          <w:szCs w:val="24"/>
        </w:rPr>
        <w:t>39</w:t>
      </w:r>
      <w:r w:rsidRPr="009131CF">
        <w:rPr>
          <w:rFonts w:ascii="Roboto" w:eastAsia="Times New Roman" w:hAnsi="Roboto" w:cs="Times New Roman"/>
          <w:color w:val="212529"/>
          <w:sz w:val="24"/>
          <w:szCs w:val="24"/>
        </w:rPr>
        <w:t>.</w:t>
      </w:r>
      <w:r w:rsidR="004A2F91">
        <w:rPr>
          <w:rFonts w:ascii="Roboto" w:eastAsia="Times New Roman" w:hAnsi="Roboto" w:cs="Times New Roman"/>
          <w:color w:val="212529"/>
          <w:sz w:val="24"/>
          <w:szCs w:val="24"/>
        </w:rPr>
        <w:t>6</w:t>
      </w:r>
      <w:r w:rsidRPr="009131CF">
        <w:rPr>
          <w:rFonts w:ascii="Roboto" w:eastAsia="Times New Roman" w:hAnsi="Roboto" w:cs="Times New Roman"/>
          <w:color w:val="212529"/>
          <w:sz w:val="24"/>
          <w:szCs w:val="24"/>
        </w:rPr>
        <w:t>%. The two-parent caseload decreased by 2</w:t>
      </w:r>
      <w:r w:rsidR="004A2F91">
        <w:rPr>
          <w:rFonts w:ascii="Roboto" w:eastAsia="Times New Roman" w:hAnsi="Roboto" w:cs="Times New Roman"/>
          <w:color w:val="212529"/>
          <w:sz w:val="24"/>
          <w:szCs w:val="24"/>
        </w:rPr>
        <w:t>5</w:t>
      </w:r>
      <w:r w:rsidRPr="009131CF">
        <w:rPr>
          <w:rFonts w:ascii="Roboto" w:eastAsia="Times New Roman" w:hAnsi="Roboto" w:cs="Times New Roman"/>
          <w:color w:val="212529"/>
          <w:sz w:val="24"/>
          <w:szCs w:val="24"/>
        </w:rPr>
        <w:t>9 cases compared to 466 cases in FY2005. Excluding the 4</w:t>
      </w:r>
      <w:r w:rsidR="00966674">
        <w:rPr>
          <w:rFonts w:ascii="Roboto" w:eastAsia="Times New Roman" w:hAnsi="Roboto" w:cs="Times New Roman"/>
          <w:color w:val="212529"/>
          <w:sz w:val="24"/>
          <w:szCs w:val="24"/>
        </w:rPr>
        <w:t>8</w:t>
      </w:r>
      <w:r w:rsidRPr="009131CF">
        <w:rPr>
          <w:rFonts w:ascii="Roboto" w:eastAsia="Times New Roman" w:hAnsi="Roboto" w:cs="Times New Roman"/>
          <w:color w:val="212529"/>
          <w:sz w:val="24"/>
          <w:szCs w:val="24"/>
        </w:rPr>
        <w:t xml:space="preserve"> two-parent cases funded by excess MOE results in an adjusted caseload of </w:t>
      </w:r>
      <w:r w:rsidR="00893736">
        <w:rPr>
          <w:rFonts w:ascii="Roboto" w:eastAsia="Times New Roman" w:hAnsi="Roboto" w:cs="Times New Roman"/>
          <w:color w:val="212529"/>
          <w:sz w:val="24"/>
          <w:szCs w:val="24"/>
        </w:rPr>
        <w:t>21</w:t>
      </w:r>
      <w:r w:rsidR="00966674">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 xml:space="preserve"> and a decline of 2</w:t>
      </w:r>
      <w:r w:rsidR="00893736">
        <w:rPr>
          <w:rFonts w:ascii="Roboto" w:eastAsia="Times New Roman" w:hAnsi="Roboto" w:cs="Times New Roman"/>
          <w:color w:val="212529"/>
          <w:sz w:val="24"/>
          <w:szCs w:val="24"/>
        </w:rPr>
        <w:t>54</w:t>
      </w:r>
      <w:r w:rsidRPr="009131CF">
        <w:rPr>
          <w:rFonts w:ascii="Roboto" w:eastAsia="Times New Roman" w:hAnsi="Roboto" w:cs="Times New Roman"/>
          <w:color w:val="212529"/>
          <w:sz w:val="24"/>
          <w:szCs w:val="24"/>
        </w:rPr>
        <w:t xml:space="preserve"> cases for a caseload reduction credit of </w:t>
      </w:r>
      <w:r w:rsidR="00893736">
        <w:rPr>
          <w:rFonts w:ascii="Roboto" w:eastAsia="Times New Roman" w:hAnsi="Roboto" w:cs="Times New Roman"/>
          <w:color w:val="212529"/>
          <w:sz w:val="24"/>
          <w:szCs w:val="24"/>
        </w:rPr>
        <w:t>54</w:t>
      </w:r>
      <w:r w:rsidRPr="009131CF">
        <w:rPr>
          <w:rFonts w:ascii="Roboto" w:eastAsia="Times New Roman" w:hAnsi="Roboto" w:cs="Times New Roman"/>
          <w:color w:val="212529"/>
          <w:sz w:val="24"/>
          <w:szCs w:val="24"/>
        </w:rPr>
        <w:t>.</w:t>
      </w:r>
      <w:r w:rsidR="00966674">
        <w:rPr>
          <w:rFonts w:ascii="Roboto" w:eastAsia="Times New Roman" w:hAnsi="Roboto" w:cs="Times New Roman"/>
          <w:color w:val="212529"/>
          <w:sz w:val="24"/>
          <w:szCs w:val="24"/>
        </w:rPr>
        <w:t>8</w:t>
      </w:r>
      <w:r w:rsidRPr="009131CF">
        <w:rPr>
          <w:rFonts w:ascii="Roboto" w:eastAsia="Times New Roman" w:hAnsi="Roboto" w:cs="Times New Roman"/>
          <w:color w:val="212529"/>
          <w:sz w:val="24"/>
          <w:szCs w:val="24"/>
        </w:rPr>
        <w:t>%. There were no policy changes affecting the rates.</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 xml:space="preserve">Given this credit, Wisconsin will need to have an average All Families WPR of </w:t>
      </w:r>
      <w:r w:rsidR="007C01A8">
        <w:rPr>
          <w:rFonts w:ascii="Roboto" w:eastAsia="Times New Roman" w:hAnsi="Roboto" w:cs="Times New Roman"/>
          <w:color w:val="212529"/>
          <w:sz w:val="24"/>
          <w:szCs w:val="24"/>
        </w:rPr>
        <w:t>1</w:t>
      </w:r>
      <w:r w:rsidR="000B4A11">
        <w:rPr>
          <w:rFonts w:ascii="Roboto" w:eastAsia="Times New Roman" w:hAnsi="Roboto" w:cs="Times New Roman"/>
          <w:color w:val="212529"/>
          <w:sz w:val="24"/>
          <w:szCs w:val="24"/>
        </w:rPr>
        <w:t>1</w:t>
      </w:r>
      <w:r w:rsidRPr="009131CF">
        <w:rPr>
          <w:rFonts w:ascii="Roboto" w:eastAsia="Times New Roman" w:hAnsi="Roboto" w:cs="Times New Roman"/>
          <w:color w:val="212529"/>
          <w:sz w:val="24"/>
          <w:szCs w:val="24"/>
        </w:rPr>
        <w:t>.</w:t>
      </w:r>
      <w:r w:rsidR="000B4A11">
        <w:rPr>
          <w:rFonts w:ascii="Roboto" w:eastAsia="Times New Roman" w:hAnsi="Roboto" w:cs="Times New Roman"/>
          <w:color w:val="212529"/>
          <w:sz w:val="24"/>
          <w:szCs w:val="24"/>
        </w:rPr>
        <w:t>8</w:t>
      </w:r>
      <w:r w:rsidRPr="009131CF">
        <w:rPr>
          <w:rFonts w:ascii="Roboto" w:eastAsia="Times New Roman" w:hAnsi="Roboto" w:cs="Times New Roman"/>
          <w:color w:val="212529"/>
          <w:sz w:val="24"/>
          <w:szCs w:val="24"/>
        </w:rPr>
        <w:t xml:space="preserve">% (50% - </w:t>
      </w:r>
      <w:r w:rsidR="00893736">
        <w:rPr>
          <w:rFonts w:ascii="Roboto" w:eastAsia="Times New Roman" w:hAnsi="Roboto" w:cs="Times New Roman"/>
          <w:color w:val="212529"/>
          <w:sz w:val="24"/>
          <w:szCs w:val="24"/>
        </w:rPr>
        <w:t>3</w:t>
      </w:r>
      <w:r w:rsidR="000B4A11">
        <w:rPr>
          <w:rFonts w:ascii="Roboto" w:eastAsia="Times New Roman" w:hAnsi="Roboto" w:cs="Times New Roman"/>
          <w:color w:val="212529"/>
          <w:sz w:val="24"/>
          <w:szCs w:val="24"/>
        </w:rPr>
        <w:t>8</w:t>
      </w:r>
      <w:r w:rsidRPr="009131CF">
        <w:rPr>
          <w:rFonts w:ascii="Roboto" w:eastAsia="Times New Roman" w:hAnsi="Roboto" w:cs="Times New Roman"/>
          <w:color w:val="212529"/>
          <w:sz w:val="24"/>
          <w:szCs w:val="24"/>
        </w:rPr>
        <w:t>.</w:t>
      </w:r>
      <w:r w:rsidR="000B4A11">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 in FFY 202</w:t>
      </w:r>
      <w:r w:rsidR="00E166CB">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 xml:space="preserve"> to meet the 50% requirement and </w:t>
      </w:r>
      <w:r w:rsidR="007C01A8">
        <w:rPr>
          <w:rFonts w:ascii="Roboto" w:eastAsia="Times New Roman" w:hAnsi="Roboto" w:cs="Times New Roman"/>
          <w:color w:val="212529"/>
          <w:sz w:val="24"/>
          <w:szCs w:val="24"/>
        </w:rPr>
        <w:t>35</w:t>
      </w:r>
      <w:r w:rsidRPr="009131CF">
        <w:rPr>
          <w:rFonts w:ascii="Roboto" w:eastAsia="Times New Roman" w:hAnsi="Roboto" w:cs="Times New Roman"/>
          <w:color w:val="212529"/>
          <w:sz w:val="24"/>
          <w:szCs w:val="24"/>
        </w:rPr>
        <w:t>.</w:t>
      </w:r>
      <w:r w:rsidR="00377710">
        <w:rPr>
          <w:rFonts w:ascii="Roboto" w:eastAsia="Times New Roman" w:hAnsi="Roboto" w:cs="Times New Roman"/>
          <w:color w:val="212529"/>
          <w:sz w:val="24"/>
          <w:szCs w:val="24"/>
        </w:rPr>
        <w:t>2</w:t>
      </w:r>
      <w:r w:rsidRPr="009131CF">
        <w:rPr>
          <w:rFonts w:ascii="Roboto" w:eastAsia="Times New Roman" w:hAnsi="Roboto" w:cs="Times New Roman"/>
          <w:color w:val="212529"/>
          <w:sz w:val="24"/>
          <w:szCs w:val="24"/>
        </w:rPr>
        <w:t xml:space="preserve">% (90% - </w:t>
      </w:r>
      <w:r w:rsidR="00893736">
        <w:rPr>
          <w:rFonts w:ascii="Roboto" w:eastAsia="Times New Roman" w:hAnsi="Roboto" w:cs="Times New Roman"/>
          <w:color w:val="212529"/>
          <w:sz w:val="24"/>
          <w:szCs w:val="24"/>
        </w:rPr>
        <w:t>54</w:t>
      </w:r>
      <w:r w:rsidRPr="009131CF">
        <w:rPr>
          <w:rFonts w:ascii="Roboto" w:eastAsia="Times New Roman" w:hAnsi="Roboto" w:cs="Times New Roman"/>
          <w:color w:val="212529"/>
          <w:sz w:val="24"/>
          <w:szCs w:val="24"/>
        </w:rPr>
        <w:t>.</w:t>
      </w:r>
      <w:r w:rsidR="000B4A11">
        <w:rPr>
          <w:rFonts w:ascii="Roboto" w:eastAsia="Times New Roman" w:hAnsi="Roboto" w:cs="Times New Roman"/>
          <w:color w:val="212529"/>
          <w:sz w:val="24"/>
          <w:szCs w:val="24"/>
        </w:rPr>
        <w:t>8</w:t>
      </w:r>
      <w:r w:rsidRPr="009131CF">
        <w:rPr>
          <w:rFonts w:ascii="Roboto" w:eastAsia="Times New Roman" w:hAnsi="Roboto" w:cs="Times New Roman"/>
          <w:color w:val="212529"/>
          <w:sz w:val="24"/>
          <w:szCs w:val="24"/>
        </w:rPr>
        <w:t>%) to meet the 90% two-parent rate.</w:t>
      </w:r>
    </w:p>
    <w:p w14:paraId="2A4B7B51"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 </w:t>
      </w:r>
    </w:p>
    <w:p w14:paraId="2CC689E0"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Comments and/or Additional Information</w:t>
      </w:r>
    </w:p>
    <w:p w14:paraId="57A419BC" w14:textId="77777777" w:rsidR="009131CF" w:rsidRPr="009131CF" w:rsidRDefault="009131CF" w:rsidP="009131CF">
      <w:pPr>
        <w:shd w:val="clear" w:color="auto" w:fill="FFFFFF"/>
        <w:spacing w:after="100" w:afterAutospacing="1" w:line="240" w:lineRule="auto"/>
        <w:rPr>
          <w:rFonts w:ascii="Roboto" w:eastAsia="Times New Roman" w:hAnsi="Roboto" w:cs="Times New Roman"/>
          <w:color w:val="212529"/>
          <w:sz w:val="24"/>
          <w:szCs w:val="24"/>
        </w:rPr>
      </w:pPr>
      <w:r w:rsidRPr="009131CF">
        <w:rPr>
          <w:rFonts w:ascii="Roboto" w:eastAsia="Times New Roman" w:hAnsi="Roboto" w:cs="Times New Roman"/>
          <w:color w:val="212529"/>
          <w:sz w:val="24"/>
          <w:szCs w:val="24"/>
        </w:rPr>
        <w:t>Comments or requests for additional information on the TANF Caseload Reduction Credit methodology may be sent to: </w:t>
      </w:r>
      <w:hyperlink r:id="rId4" w:history="1">
        <w:r w:rsidRPr="009131CF">
          <w:rPr>
            <w:rFonts w:ascii="Roboto" w:eastAsia="Times New Roman" w:hAnsi="Roboto" w:cs="Times New Roman"/>
            <w:color w:val="2162AE"/>
            <w:sz w:val="24"/>
            <w:szCs w:val="24"/>
            <w:u w:val="single"/>
          </w:rPr>
          <w:t>bwf_co@wisconsin.gov</w:t>
        </w:r>
      </w:hyperlink>
      <w:r w:rsidRPr="009131CF">
        <w:rPr>
          <w:rFonts w:ascii="Roboto" w:eastAsia="Times New Roman" w:hAnsi="Roboto" w:cs="Times New Roman"/>
          <w:color w:val="212529"/>
          <w:sz w:val="24"/>
          <w:szCs w:val="24"/>
        </w:rPr>
        <w:t>, or write to:</w:t>
      </w:r>
      <w:r w:rsidRPr="009131CF">
        <w:rPr>
          <w:rFonts w:ascii="Roboto" w:eastAsia="Times New Roman" w:hAnsi="Roboto" w:cs="Times New Roman"/>
          <w:color w:val="212529"/>
          <w:sz w:val="24"/>
          <w:szCs w:val="24"/>
        </w:rPr>
        <w:br/>
      </w:r>
      <w:r w:rsidRPr="009131CF">
        <w:rPr>
          <w:rFonts w:ascii="Roboto" w:eastAsia="Times New Roman" w:hAnsi="Roboto" w:cs="Times New Roman"/>
          <w:color w:val="212529"/>
          <w:sz w:val="24"/>
          <w:szCs w:val="24"/>
        </w:rPr>
        <w:br/>
        <w:t>WI Department of Children and Families</w:t>
      </w:r>
      <w:r w:rsidRPr="009131CF">
        <w:rPr>
          <w:rFonts w:ascii="Roboto" w:eastAsia="Times New Roman" w:hAnsi="Roboto" w:cs="Times New Roman"/>
          <w:color w:val="212529"/>
          <w:sz w:val="24"/>
          <w:szCs w:val="24"/>
        </w:rPr>
        <w:br/>
        <w:t>Division of Family and Economic Security</w:t>
      </w:r>
      <w:r w:rsidRPr="009131CF">
        <w:rPr>
          <w:rFonts w:ascii="Roboto" w:eastAsia="Times New Roman" w:hAnsi="Roboto" w:cs="Times New Roman"/>
          <w:color w:val="212529"/>
          <w:sz w:val="24"/>
          <w:szCs w:val="24"/>
        </w:rPr>
        <w:br/>
        <w:t>Bureau of Analytics and Research</w:t>
      </w:r>
      <w:r w:rsidRPr="009131CF">
        <w:rPr>
          <w:rFonts w:ascii="Roboto" w:eastAsia="Times New Roman" w:hAnsi="Roboto" w:cs="Times New Roman"/>
          <w:color w:val="212529"/>
          <w:sz w:val="24"/>
          <w:szCs w:val="24"/>
        </w:rPr>
        <w:br/>
        <w:t>Data Analytics and Reporting Section</w:t>
      </w:r>
      <w:r w:rsidRPr="009131CF">
        <w:rPr>
          <w:rFonts w:ascii="Roboto" w:eastAsia="Times New Roman" w:hAnsi="Roboto" w:cs="Times New Roman"/>
          <w:color w:val="212529"/>
          <w:sz w:val="24"/>
          <w:szCs w:val="24"/>
        </w:rPr>
        <w:br/>
        <w:t>P.O. Box 8916</w:t>
      </w:r>
      <w:r w:rsidRPr="009131CF">
        <w:rPr>
          <w:rFonts w:ascii="Roboto" w:eastAsia="Times New Roman" w:hAnsi="Roboto" w:cs="Times New Roman"/>
          <w:color w:val="212529"/>
          <w:sz w:val="24"/>
          <w:szCs w:val="24"/>
        </w:rPr>
        <w:br/>
        <w:t>Madison WI 53708-8916.</w:t>
      </w:r>
    </w:p>
    <w:p w14:paraId="09FD4F0D" w14:textId="77777777" w:rsidR="006B7B64" w:rsidRDefault="006B7B64"/>
    <w:sectPr w:rsidR="006B7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CF"/>
    <w:rsid w:val="00042046"/>
    <w:rsid w:val="000B4A11"/>
    <w:rsid w:val="00107372"/>
    <w:rsid w:val="002171FB"/>
    <w:rsid w:val="00221723"/>
    <w:rsid w:val="0024246F"/>
    <w:rsid w:val="002E1EF9"/>
    <w:rsid w:val="002E41D2"/>
    <w:rsid w:val="00337707"/>
    <w:rsid w:val="003660DD"/>
    <w:rsid w:val="00377710"/>
    <w:rsid w:val="00456202"/>
    <w:rsid w:val="004A2F91"/>
    <w:rsid w:val="005012E4"/>
    <w:rsid w:val="0067522C"/>
    <w:rsid w:val="00685048"/>
    <w:rsid w:val="006B7B64"/>
    <w:rsid w:val="006F3EA6"/>
    <w:rsid w:val="00755B25"/>
    <w:rsid w:val="007C01A8"/>
    <w:rsid w:val="00893736"/>
    <w:rsid w:val="009063EF"/>
    <w:rsid w:val="009131CF"/>
    <w:rsid w:val="00966674"/>
    <w:rsid w:val="00AB45D7"/>
    <w:rsid w:val="00B07CE5"/>
    <w:rsid w:val="00BA7754"/>
    <w:rsid w:val="00E166CB"/>
    <w:rsid w:val="00E84BBC"/>
    <w:rsid w:val="00EF4CC7"/>
    <w:rsid w:val="00F56DBB"/>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5D4E"/>
  <w15:chartTrackingRefBased/>
  <w15:docId w15:val="{709180D1-2196-4DF7-8126-8FF6A708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NormalWeb">
    <w:name w:val="Normal (Web)"/>
    <w:basedOn w:val="Normal"/>
    <w:uiPriority w:val="99"/>
    <w:semiHidden/>
    <w:unhideWhenUsed/>
    <w:rsid w:val="009131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1CF"/>
    <w:rPr>
      <w:b/>
      <w:bCs/>
    </w:rPr>
  </w:style>
  <w:style w:type="character" w:styleId="Hyperlink">
    <w:name w:val="Hyperlink"/>
    <w:basedOn w:val="DefaultParagraphFont"/>
    <w:uiPriority w:val="99"/>
    <w:semiHidden/>
    <w:unhideWhenUsed/>
    <w:rsid w:val="00913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32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wf_co@wisconsin.gov" TargetMode="Externa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Valembrun, Arlynn - DCF</dc:creator>
  <cp:keywords/>
  <dc:description/>
  <cp:lastModifiedBy>Groskreutz, Elizabeth R - DCF</cp:lastModifiedBy>
  <cp:revision>2</cp:revision>
  <dcterms:created xsi:type="dcterms:W3CDTF">2021-11-29T14:58:00Z</dcterms:created>
  <dcterms:modified xsi:type="dcterms:W3CDTF">2021-11-29T14:58:00Z</dcterms:modified>
</cp:coreProperties>
</file>