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1A479" w14:textId="77777777" w:rsidR="006335DF" w:rsidRPr="006A4E37" w:rsidRDefault="0054228F">
      <w:pPr>
        <w:rPr>
          <w:rFonts w:ascii="Arial" w:hAnsi="Arial"/>
        </w:rPr>
      </w:pPr>
      <w:r w:rsidRPr="006A4E37">
        <w:rPr>
          <w:rFonts w:ascii="Arial" w:hAnsi="Arial"/>
        </w:rPr>
        <w:fldChar w:fldCharType="begin">
          <w:ffData>
            <w:name w:val="Text1"/>
            <w:enabled/>
            <w:calcOnExit w:val="0"/>
            <w:textInput>
              <w:maxLength w:val="20"/>
            </w:textInput>
          </w:ffData>
        </w:fldChar>
      </w:r>
      <w:r w:rsidRPr="006A4E37">
        <w:rPr>
          <w:rFonts w:ascii="Arial" w:hAnsi="Arial"/>
        </w:rPr>
        <w:instrText xml:space="preserve"> FORMTEXT </w:instrText>
      </w:r>
      <w:r w:rsidRPr="006A4E37">
        <w:rPr>
          <w:rFonts w:ascii="Arial" w:hAnsi="Arial"/>
        </w:rPr>
      </w:r>
      <w:r w:rsidRPr="006A4E37">
        <w:rPr>
          <w:rFonts w:ascii="Arial" w:hAnsi="Arial"/>
        </w:rPr>
        <w:fldChar w:fldCharType="separate"/>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fldChar w:fldCharType="end"/>
      </w:r>
    </w:p>
    <w:p w14:paraId="79EF8DD8" w14:textId="77777777" w:rsidR="006335DF" w:rsidRPr="006A4E37" w:rsidRDefault="006335DF">
      <w:pPr>
        <w:rPr>
          <w:rFonts w:ascii="Arial" w:hAnsi="Arial"/>
        </w:rPr>
      </w:pPr>
    </w:p>
    <w:p w14:paraId="76219A24" w14:textId="77777777" w:rsidR="006335DF" w:rsidRPr="006A4E37" w:rsidRDefault="006335DF">
      <w:pPr>
        <w:rPr>
          <w:rFonts w:ascii="Arial" w:hAnsi="Arial"/>
        </w:rPr>
      </w:pPr>
    </w:p>
    <w:p w14:paraId="02234EE4" w14:textId="77777777" w:rsidR="006335DF" w:rsidRPr="006A4E37" w:rsidRDefault="0054228F">
      <w:pPr>
        <w:rPr>
          <w:rFonts w:ascii="Arial" w:hAnsi="Arial"/>
        </w:rPr>
      </w:pPr>
      <w:r w:rsidRPr="006A4E37">
        <w:rPr>
          <w:rFonts w:ascii="Arial" w:hAnsi="Arial"/>
        </w:rPr>
        <w:fldChar w:fldCharType="begin">
          <w:ffData>
            <w:name w:val="Text3"/>
            <w:enabled/>
            <w:calcOnExit w:val="0"/>
            <w:textInput/>
          </w:ffData>
        </w:fldChar>
      </w:r>
      <w:r w:rsidRPr="006A4E37">
        <w:rPr>
          <w:rFonts w:ascii="Arial" w:hAnsi="Arial"/>
        </w:rPr>
        <w:instrText xml:space="preserve"> FORMTEXT </w:instrText>
      </w:r>
      <w:r w:rsidRPr="006A4E37">
        <w:rPr>
          <w:rFonts w:ascii="Arial" w:hAnsi="Arial"/>
        </w:rPr>
      </w:r>
      <w:r w:rsidRPr="006A4E37">
        <w:rPr>
          <w:rFonts w:ascii="Arial" w:hAnsi="Arial"/>
        </w:rPr>
        <w:fldChar w:fldCharType="separate"/>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fldChar w:fldCharType="end"/>
      </w:r>
    </w:p>
    <w:p w14:paraId="1F964564" w14:textId="77777777" w:rsidR="006335DF" w:rsidRPr="006A4E37" w:rsidRDefault="0054228F">
      <w:pPr>
        <w:rPr>
          <w:rFonts w:ascii="Arial" w:hAnsi="Arial"/>
        </w:rPr>
      </w:pPr>
      <w:r w:rsidRPr="006A4E37">
        <w:rPr>
          <w:rFonts w:ascii="Arial" w:hAnsi="Arial"/>
        </w:rPr>
        <w:fldChar w:fldCharType="begin">
          <w:ffData>
            <w:name w:val="Text4"/>
            <w:enabled/>
            <w:calcOnExit w:val="0"/>
            <w:textInput/>
          </w:ffData>
        </w:fldChar>
      </w:r>
      <w:r w:rsidRPr="006A4E37">
        <w:rPr>
          <w:rFonts w:ascii="Arial" w:hAnsi="Arial"/>
        </w:rPr>
        <w:instrText xml:space="preserve"> FORMTEXT </w:instrText>
      </w:r>
      <w:r w:rsidRPr="006A4E37">
        <w:rPr>
          <w:rFonts w:ascii="Arial" w:hAnsi="Arial"/>
        </w:rPr>
      </w:r>
      <w:r w:rsidRPr="006A4E37">
        <w:rPr>
          <w:rFonts w:ascii="Arial" w:hAnsi="Arial"/>
        </w:rPr>
        <w:fldChar w:fldCharType="separate"/>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fldChar w:fldCharType="end"/>
      </w:r>
    </w:p>
    <w:p w14:paraId="62F0C886" w14:textId="77777777" w:rsidR="006335DF" w:rsidRPr="006A4E37" w:rsidRDefault="0054228F">
      <w:pPr>
        <w:rPr>
          <w:rFonts w:ascii="Arial" w:hAnsi="Arial"/>
        </w:rPr>
      </w:pPr>
      <w:r w:rsidRPr="006A4E37">
        <w:rPr>
          <w:rFonts w:ascii="Arial" w:hAnsi="Arial"/>
        </w:rPr>
        <w:fldChar w:fldCharType="begin">
          <w:ffData>
            <w:name w:val="Text5"/>
            <w:enabled/>
            <w:calcOnExit w:val="0"/>
            <w:textInput/>
          </w:ffData>
        </w:fldChar>
      </w:r>
      <w:r w:rsidRPr="006A4E37">
        <w:rPr>
          <w:rFonts w:ascii="Arial" w:hAnsi="Arial"/>
        </w:rPr>
        <w:instrText xml:space="preserve"> FORMTEXT </w:instrText>
      </w:r>
      <w:r w:rsidRPr="006A4E37">
        <w:rPr>
          <w:rFonts w:ascii="Arial" w:hAnsi="Arial"/>
        </w:rPr>
      </w:r>
      <w:r w:rsidRPr="006A4E37">
        <w:rPr>
          <w:rFonts w:ascii="Arial" w:hAnsi="Arial"/>
        </w:rPr>
        <w:fldChar w:fldCharType="separate"/>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fldChar w:fldCharType="end"/>
      </w:r>
    </w:p>
    <w:p w14:paraId="4A499A31" w14:textId="77777777" w:rsidR="006335DF" w:rsidRPr="006A4E37" w:rsidRDefault="0054228F">
      <w:pPr>
        <w:rPr>
          <w:rFonts w:ascii="Arial" w:hAnsi="Arial"/>
        </w:rPr>
      </w:pPr>
      <w:r w:rsidRPr="006A4E37">
        <w:rPr>
          <w:rFonts w:ascii="Arial" w:hAnsi="Arial"/>
        </w:rPr>
        <w:fldChar w:fldCharType="begin">
          <w:ffData>
            <w:name w:val="Text6"/>
            <w:enabled/>
            <w:calcOnExit w:val="0"/>
            <w:textInput/>
          </w:ffData>
        </w:fldChar>
      </w:r>
      <w:r w:rsidRPr="006A4E37">
        <w:rPr>
          <w:rFonts w:ascii="Arial" w:hAnsi="Arial"/>
        </w:rPr>
        <w:instrText xml:space="preserve"> FORMTEXT </w:instrText>
      </w:r>
      <w:r w:rsidRPr="006A4E37">
        <w:rPr>
          <w:rFonts w:ascii="Arial" w:hAnsi="Arial"/>
        </w:rPr>
      </w:r>
      <w:r w:rsidRPr="006A4E37">
        <w:rPr>
          <w:rFonts w:ascii="Arial" w:hAnsi="Arial"/>
        </w:rPr>
        <w:fldChar w:fldCharType="separate"/>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fldChar w:fldCharType="end"/>
      </w:r>
    </w:p>
    <w:p w14:paraId="04AD17A8" w14:textId="77777777" w:rsidR="006335DF" w:rsidRPr="006A4E37" w:rsidRDefault="006335DF">
      <w:pPr>
        <w:rPr>
          <w:rFonts w:ascii="Arial" w:hAnsi="Arial"/>
        </w:rPr>
      </w:pPr>
    </w:p>
    <w:p w14:paraId="7F7130F0" w14:textId="77777777" w:rsidR="006335DF" w:rsidRPr="006A4E37" w:rsidRDefault="006335DF">
      <w:pPr>
        <w:rPr>
          <w:rFonts w:ascii="Arial" w:hAnsi="Arial"/>
        </w:rPr>
      </w:pPr>
    </w:p>
    <w:p w14:paraId="346F6E22" w14:textId="77777777" w:rsidR="006335DF" w:rsidRPr="006A4E37" w:rsidRDefault="0054228F">
      <w:pPr>
        <w:pStyle w:val="Header"/>
        <w:tabs>
          <w:tab w:val="clear" w:pos="4320"/>
          <w:tab w:val="clear" w:pos="8640"/>
        </w:tabs>
        <w:rPr>
          <w:rFonts w:ascii="Arial" w:hAnsi="Arial"/>
        </w:rPr>
      </w:pPr>
      <w:r w:rsidRPr="006A4E37">
        <w:rPr>
          <w:rFonts w:ascii="Arial" w:hAnsi="Arial"/>
        </w:rPr>
        <w:t xml:space="preserve">Asunto: Aviso de los resultados de la revaluación de la tarifa por acogida temporal de </w:t>
      </w:r>
      <w:r w:rsidRPr="006A4E37">
        <w:rPr>
          <w:rFonts w:ascii="Arial" w:hAnsi="Arial"/>
        </w:rPr>
        <w:fldChar w:fldCharType="begin">
          <w:ffData>
            <w:name w:val="Text7"/>
            <w:enabled/>
            <w:calcOnExit w:val="0"/>
            <w:textInput>
              <w:maxLength w:val="55"/>
            </w:textInput>
          </w:ffData>
        </w:fldChar>
      </w:r>
      <w:r w:rsidRPr="006A4E37">
        <w:rPr>
          <w:rFonts w:ascii="Arial" w:hAnsi="Arial"/>
        </w:rPr>
        <w:instrText xml:space="preserve"> FORMTEXT </w:instrText>
      </w:r>
      <w:r w:rsidRPr="006A4E37">
        <w:rPr>
          <w:rFonts w:ascii="Arial" w:hAnsi="Arial"/>
        </w:rPr>
      </w:r>
      <w:r w:rsidRPr="006A4E37">
        <w:rPr>
          <w:rFonts w:ascii="Arial" w:hAnsi="Arial"/>
        </w:rPr>
        <w:fldChar w:fldCharType="separate"/>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fldChar w:fldCharType="end"/>
      </w:r>
    </w:p>
    <w:p w14:paraId="31E0ED70" w14:textId="77777777" w:rsidR="006335DF" w:rsidRPr="006A4E37" w:rsidRDefault="006335DF">
      <w:pPr>
        <w:rPr>
          <w:rFonts w:ascii="Arial" w:hAnsi="Arial"/>
        </w:rPr>
      </w:pPr>
    </w:p>
    <w:p w14:paraId="1D01A86C" w14:textId="77777777" w:rsidR="006335DF" w:rsidRPr="006A4E37" w:rsidRDefault="0054228F">
      <w:pPr>
        <w:rPr>
          <w:rFonts w:ascii="Arial" w:hAnsi="Arial"/>
        </w:rPr>
      </w:pPr>
      <w:r w:rsidRPr="006A4E37">
        <w:rPr>
          <w:rFonts w:ascii="Arial" w:hAnsi="Arial"/>
        </w:rPr>
        <w:t xml:space="preserve">Estimado/a </w:t>
      </w:r>
      <w:r w:rsidRPr="006A4E37">
        <w:rPr>
          <w:rFonts w:ascii="Arial" w:hAnsi="Arial"/>
        </w:rPr>
        <w:fldChar w:fldCharType="begin">
          <w:ffData>
            <w:name w:val="Text17"/>
            <w:enabled/>
            <w:calcOnExit w:val="0"/>
            <w:textInput>
              <w:maxLength w:val="55"/>
            </w:textInput>
          </w:ffData>
        </w:fldChar>
      </w:r>
      <w:r w:rsidRPr="006A4E37">
        <w:rPr>
          <w:rFonts w:ascii="Arial" w:hAnsi="Arial"/>
        </w:rPr>
        <w:instrText xml:space="preserve"> FORMTEXT </w:instrText>
      </w:r>
      <w:r w:rsidRPr="006A4E37">
        <w:rPr>
          <w:rFonts w:ascii="Arial" w:hAnsi="Arial"/>
        </w:rPr>
      </w:r>
      <w:r w:rsidRPr="006A4E37">
        <w:rPr>
          <w:rFonts w:ascii="Arial" w:hAnsi="Arial"/>
        </w:rPr>
        <w:fldChar w:fldCharType="separate"/>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fldChar w:fldCharType="end"/>
      </w:r>
      <w:r w:rsidRPr="006A4E37">
        <w:rPr>
          <w:rFonts w:ascii="Arial" w:hAnsi="Arial"/>
        </w:rPr>
        <w:t>:</w:t>
      </w:r>
    </w:p>
    <w:p w14:paraId="63A6FCB1" w14:textId="77777777" w:rsidR="006335DF" w:rsidRPr="006A4E37" w:rsidRDefault="006335DF">
      <w:pPr>
        <w:rPr>
          <w:rFonts w:ascii="Arial" w:hAnsi="Arial"/>
        </w:rPr>
      </w:pPr>
    </w:p>
    <w:p w14:paraId="1838FAC1" w14:textId="77777777" w:rsidR="006335DF" w:rsidRPr="006A4E37" w:rsidRDefault="0054228F" w:rsidP="00922540">
      <w:pPr>
        <w:ind w:right="216"/>
        <w:rPr>
          <w:rFonts w:ascii="Arial" w:hAnsi="Arial"/>
        </w:rPr>
      </w:pPr>
      <w:r w:rsidRPr="006A4E37">
        <w:rPr>
          <w:rFonts w:ascii="Arial" w:hAnsi="Arial"/>
        </w:rPr>
        <w:t xml:space="preserve">Mediante esta carta le informamos de la revaluación de su tarifa de reembolso por acogida temporal que tuvo lugar el </w:t>
      </w:r>
      <w:r w:rsidRPr="006A4E37">
        <w:rPr>
          <w:rFonts w:ascii="Arial" w:hAnsi="Arial"/>
        </w:rPr>
        <w:fldChar w:fldCharType="begin">
          <w:ffData>
            <w:name w:val="Text8"/>
            <w:enabled/>
            <w:calcOnExit w:val="0"/>
            <w:textInput>
              <w:maxLength w:val="20"/>
            </w:textInput>
          </w:ffData>
        </w:fldChar>
      </w:r>
      <w:r w:rsidRPr="006A4E37">
        <w:rPr>
          <w:rFonts w:ascii="Arial" w:hAnsi="Arial"/>
        </w:rPr>
        <w:instrText xml:space="preserve"> FORMTEXT </w:instrText>
      </w:r>
      <w:r w:rsidRPr="006A4E37">
        <w:rPr>
          <w:rFonts w:ascii="Arial" w:hAnsi="Arial"/>
        </w:rPr>
      </w:r>
      <w:r w:rsidRPr="006A4E37">
        <w:rPr>
          <w:rFonts w:ascii="Arial" w:hAnsi="Arial"/>
        </w:rPr>
        <w:fldChar w:fldCharType="separate"/>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fldChar w:fldCharType="end"/>
      </w:r>
      <w:r w:rsidRPr="006A4E37">
        <w:rPr>
          <w:rFonts w:ascii="Arial" w:hAnsi="Arial"/>
        </w:rPr>
        <w:t>, en relación con su tarifa de reembolso por acogida temporal. Después de haber completado la revaluación, determinamos que recibirá una tarifa de reembolso de $</w:t>
      </w:r>
      <w:r w:rsidRPr="006A4E37">
        <w:rPr>
          <w:rFonts w:ascii="Arial" w:hAnsi="Arial"/>
        </w:rPr>
        <w:fldChar w:fldCharType="begin">
          <w:ffData>
            <w:name w:val="Text9"/>
            <w:enabled/>
            <w:calcOnExit w:val="0"/>
            <w:textInput>
              <w:maxLength w:val="14"/>
            </w:textInput>
          </w:ffData>
        </w:fldChar>
      </w:r>
      <w:r w:rsidRPr="006A4E37">
        <w:rPr>
          <w:rFonts w:ascii="Arial" w:hAnsi="Arial"/>
        </w:rPr>
        <w:instrText xml:space="preserve"> FORMTEXT </w:instrText>
      </w:r>
      <w:r w:rsidRPr="006A4E37">
        <w:rPr>
          <w:rFonts w:ascii="Arial" w:hAnsi="Arial"/>
        </w:rPr>
      </w:r>
      <w:r w:rsidRPr="006A4E37">
        <w:rPr>
          <w:rFonts w:ascii="Arial" w:hAnsi="Arial"/>
        </w:rPr>
        <w:fldChar w:fldCharType="separate"/>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fldChar w:fldCharType="end"/>
      </w:r>
      <w:r w:rsidRPr="006A4E37">
        <w:rPr>
          <w:rFonts w:ascii="Arial" w:hAnsi="Arial"/>
        </w:rPr>
        <w:t xml:space="preserve"> al mes por </w:t>
      </w:r>
      <w:r w:rsidRPr="006A4E37">
        <w:rPr>
          <w:rFonts w:ascii="Arial" w:hAnsi="Arial"/>
        </w:rPr>
        <w:fldChar w:fldCharType="begin">
          <w:ffData>
            <w:name w:val="Text10"/>
            <w:enabled/>
            <w:calcOnExit w:val="0"/>
            <w:textInput>
              <w:maxLength w:val="55"/>
            </w:textInput>
          </w:ffData>
        </w:fldChar>
      </w:r>
      <w:r w:rsidRPr="006A4E37">
        <w:rPr>
          <w:rFonts w:ascii="Arial" w:hAnsi="Arial"/>
        </w:rPr>
        <w:instrText xml:space="preserve"> FORMTEXT </w:instrText>
      </w:r>
      <w:r w:rsidRPr="006A4E37">
        <w:rPr>
          <w:rFonts w:ascii="Arial" w:hAnsi="Arial"/>
        </w:rPr>
      </w:r>
      <w:r w:rsidRPr="006A4E37">
        <w:rPr>
          <w:rFonts w:ascii="Arial" w:hAnsi="Arial"/>
        </w:rPr>
        <w:fldChar w:fldCharType="separate"/>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fldChar w:fldCharType="end"/>
      </w:r>
      <w:r w:rsidRPr="006A4E37">
        <w:rPr>
          <w:rFonts w:ascii="Arial" w:hAnsi="Arial"/>
        </w:rPr>
        <w:t xml:space="preserve">, que entrará en vigencia el </w:t>
      </w:r>
      <w:r w:rsidRPr="006A4E37">
        <w:rPr>
          <w:rFonts w:ascii="Arial" w:hAnsi="Arial"/>
        </w:rPr>
        <w:fldChar w:fldCharType="begin">
          <w:ffData>
            <w:name w:val="Text11"/>
            <w:enabled/>
            <w:calcOnExit w:val="0"/>
            <w:textInput>
              <w:maxLength w:val="20"/>
            </w:textInput>
          </w:ffData>
        </w:fldChar>
      </w:r>
      <w:r w:rsidRPr="006A4E37">
        <w:rPr>
          <w:rFonts w:ascii="Arial" w:hAnsi="Arial"/>
        </w:rPr>
        <w:instrText xml:space="preserve"> FORMTEXT </w:instrText>
      </w:r>
      <w:r w:rsidRPr="006A4E37">
        <w:rPr>
          <w:rFonts w:ascii="Arial" w:hAnsi="Arial"/>
        </w:rPr>
      </w:r>
      <w:r w:rsidRPr="006A4E37">
        <w:rPr>
          <w:rFonts w:ascii="Arial" w:hAnsi="Arial"/>
        </w:rPr>
        <w:fldChar w:fldCharType="separate"/>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fldChar w:fldCharType="end"/>
      </w:r>
      <w:r w:rsidRPr="006A4E37">
        <w:rPr>
          <w:rFonts w:ascii="Arial" w:hAnsi="Arial"/>
        </w:rPr>
        <w:t xml:space="preserve">. </w:t>
      </w:r>
    </w:p>
    <w:p w14:paraId="5CF87988" w14:textId="77777777" w:rsidR="006335DF" w:rsidRPr="006A4E37" w:rsidRDefault="006335DF">
      <w:pPr>
        <w:rPr>
          <w:rFonts w:ascii="Arial" w:hAnsi="Arial"/>
        </w:rPr>
      </w:pPr>
    </w:p>
    <w:p w14:paraId="435B31D2" w14:textId="77777777" w:rsidR="006335DF" w:rsidRPr="006A4E37" w:rsidRDefault="0054228F">
      <w:pPr>
        <w:rPr>
          <w:rFonts w:ascii="Arial" w:hAnsi="Arial"/>
        </w:rPr>
      </w:pPr>
      <w:r w:rsidRPr="006A4E37">
        <w:rPr>
          <w:rFonts w:ascii="Arial" w:hAnsi="Arial"/>
        </w:rPr>
        <w:t>El importe total del reembolso se basa en los siguientes aspectos de la Uniform Foster Care Rate (tarifa uniforme por acogida temporal):</w:t>
      </w:r>
    </w:p>
    <w:p w14:paraId="1C930FD8" w14:textId="77777777" w:rsidR="006335DF" w:rsidRPr="006A4E37" w:rsidRDefault="006335DF">
      <w:pPr>
        <w:rPr>
          <w:rFonts w:ascii="Arial" w:hAnsi="Arial"/>
        </w:rPr>
      </w:pPr>
    </w:p>
    <w:tbl>
      <w:tblPr>
        <w:tblW w:w="0" w:type="auto"/>
        <w:tblLayout w:type="fixed"/>
        <w:tblLook w:val="0000" w:firstRow="0" w:lastRow="0" w:firstColumn="0" w:lastColumn="0" w:noHBand="0" w:noVBand="0"/>
      </w:tblPr>
      <w:tblGrid>
        <w:gridCol w:w="1728"/>
        <w:gridCol w:w="2610"/>
        <w:gridCol w:w="360"/>
        <w:gridCol w:w="2250"/>
        <w:gridCol w:w="3690"/>
      </w:tblGrid>
      <w:tr w:rsidR="0054228F" w:rsidRPr="006A4E37" w14:paraId="6317C2F5" w14:textId="77777777">
        <w:tc>
          <w:tcPr>
            <w:tcW w:w="1728" w:type="dxa"/>
            <w:vAlign w:val="bottom"/>
          </w:tcPr>
          <w:p w14:paraId="50D3A10B" w14:textId="77777777" w:rsidR="006335DF" w:rsidRPr="006A4E37" w:rsidRDefault="006335DF">
            <w:pPr>
              <w:rPr>
                <w:rFonts w:ascii="Arial" w:hAnsi="Arial"/>
              </w:rPr>
            </w:pPr>
          </w:p>
        </w:tc>
        <w:tc>
          <w:tcPr>
            <w:tcW w:w="2610" w:type="dxa"/>
            <w:vAlign w:val="bottom"/>
          </w:tcPr>
          <w:p w14:paraId="61D5F916" w14:textId="77777777" w:rsidR="006335DF" w:rsidRPr="006A4E37" w:rsidRDefault="0054228F">
            <w:pPr>
              <w:rPr>
                <w:rFonts w:ascii="Arial" w:hAnsi="Arial"/>
              </w:rPr>
            </w:pPr>
            <w:r w:rsidRPr="006A4E37">
              <w:rPr>
                <w:rFonts w:ascii="Arial" w:hAnsi="Arial"/>
              </w:rPr>
              <w:t>Tarifa de manutención básica</w:t>
            </w:r>
          </w:p>
        </w:tc>
        <w:tc>
          <w:tcPr>
            <w:tcW w:w="360" w:type="dxa"/>
            <w:vAlign w:val="bottom"/>
          </w:tcPr>
          <w:p w14:paraId="68C1B5E1" w14:textId="77777777" w:rsidR="006335DF" w:rsidRPr="006A4E37" w:rsidRDefault="0054228F">
            <w:pPr>
              <w:rPr>
                <w:rFonts w:ascii="Arial" w:hAnsi="Arial"/>
              </w:rPr>
            </w:pPr>
            <w:r w:rsidRPr="006A4E37">
              <w:rPr>
                <w:rFonts w:ascii="Arial" w:hAnsi="Arial"/>
              </w:rPr>
              <w:t>$</w:t>
            </w:r>
          </w:p>
        </w:tc>
        <w:tc>
          <w:tcPr>
            <w:tcW w:w="2250" w:type="dxa"/>
            <w:tcBorders>
              <w:bottom w:val="single" w:sz="4" w:space="0" w:color="auto"/>
            </w:tcBorders>
            <w:vAlign w:val="bottom"/>
          </w:tcPr>
          <w:p w14:paraId="6A6B605D" w14:textId="77777777" w:rsidR="006335DF" w:rsidRPr="006A4E37" w:rsidRDefault="0054228F">
            <w:pPr>
              <w:rPr>
                <w:rFonts w:ascii="Arial" w:hAnsi="Arial"/>
              </w:rPr>
            </w:pPr>
            <w:r w:rsidRPr="006A4E37">
              <w:rPr>
                <w:rFonts w:ascii="Arial" w:hAnsi="Arial"/>
              </w:rPr>
              <w:fldChar w:fldCharType="begin">
                <w:ffData>
                  <w:name w:val="Text12"/>
                  <w:enabled/>
                  <w:calcOnExit w:val="0"/>
                  <w:textInput>
                    <w:maxLength w:val="14"/>
                  </w:textInput>
                </w:ffData>
              </w:fldChar>
            </w:r>
            <w:r w:rsidRPr="006A4E37">
              <w:rPr>
                <w:rFonts w:ascii="Arial" w:hAnsi="Arial"/>
              </w:rPr>
              <w:instrText xml:space="preserve"> FORMTEXT </w:instrText>
            </w:r>
            <w:r w:rsidRPr="006A4E37">
              <w:rPr>
                <w:rFonts w:ascii="Arial" w:hAnsi="Arial"/>
              </w:rPr>
            </w:r>
            <w:r w:rsidRPr="006A4E37">
              <w:rPr>
                <w:rFonts w:ascii="Arial" w:hAnsi="Arial"/>
              </w:rPr>
              <w:fldChar w:fldCharType="separate"/>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fldChar w:fldCharType="end"/>
            </w:r>
          </w:p>
        </w:tc>
        <w:tc>
          <w:tcPr>
            <w:tcW w:w="3690" w:type="dxa"/>
            <w:vAlign w:val="bottom"/>
          </w:tcPr>
          <w:p w14:paraId="345CB1A4" w14:textId="77777777" w:rsidR="006335DF" w:rsidRPr="006A4E37" w:rsidRDefault="006335DF">
            <w:pPr>
              <w:rPr>
                <w:rFonts w:ascii="Arial" w:hAnsi="Arial"/>
              </w:rPr>
            </w:pPr>
          </w:p>
        </w:tc>
      </w:tr>
      <w:tr w:rsidR="0054228F" w:rsidRPr="006A4E37" w14:paraId="69FF71F4" w14:textId="77777777">
        <w:tc>
          <w:tcPr>
            <w:tcW w:w="1728" w:type="dxa"/>
            <w:vAlign w:val="bottom"/>
          </w:tcPr>
          <w:p w14:paraId="219F1DCD" w14:textId="77777777" w:rsidR="006335DF" w:rsidRPr="006A4E37" w:rsidRDefault="006335DF">
            <w:pPr>
              <w:rPr>
                <w:rFonts w:ascii="Arial" w:hAnsi="Arial"/>
              </w:rPr>
            </w:pPr>
          </w:p>
        </w:tc>
        <w:tc>
          <w:tcPr>
            <w:tcW w:w="2610" w:type="dxa"/>
            <w:vAlign w:val="bottom"/>
          </w:tcPr>
          <w:p w14:paraId="7047116B" w14:textId="77777777" w:rsidR="006335DF" w:rsidRPr="006A4E37" w:rsidRDefault="0054228F">
            <w:pPr>
              <w:rPr>
                <w:rFonts w:ascii="Arial" w:hAnsi="Arial"/>
              </w:rPr>
            </w:pPr>
            <w:r w:rsidRPr="006A4E37">
              <w:rPr>
                <w:rFonts w:ascii="Arial" w:hAnsi="Arial"/>
              </w:rPr>
              <w:t>Tarifa suplementaria</w:t>
            </w:r>
          </w:p>
        </w:tc>
        <w:tc>
          <w:tcPr>
            <w:tcW w:w="360" w:type="dxa"/>
            <w:vAlign w:val="bottom"/>
          </w:tcPr>
          <w:p w14:paraId="71742ECD" w14:textId="77777777" w:rsidR="006335DF" w:rsidRPr="006A4E37" w:rsidRDefault="0054228F">
            <w:pPr>
              <w:rPr>
                <w:rFonts w:ascii="Arial" w:hAnsi="Arial"/>
              </w:rPr>
            </w:pPr>
            <w:r w:rsidRPr="006A4E37">
              <w:rPr>
                <w:rFonts w:ascii="Arial" w:hAnsi="Arial"/>
              </w:rPr>
              <w:t>$</w:t>
            </w:r>
          </w:p>
        </w:tc>
        <w:tc>
          <w:tcPr>
            <w:tcW w:w="2250" w:type="dxa"/>
            <w:tcBorders>
              <w:top w:val="single" w:sz="4" w:space="0" w:color="auto"/>
              <w:bottom w:val="single" w:sz="4" w:space="0" w:color="auto"/>
            </w:tcBorders>
            <w:vAlign w:val="bottom"/>
          </w:tcPr>
          <w:p w14:paraId="11347546" w14:textId="77777777" w:rsidR="006335DF" w:rsidRPr="006A4E37" w:rsidRDefault="0054228F">
            <w:pPr>
              <w:rPr>
                <w:rFonts w:ascii="Arial" w:hAnsi="Arial"/>
              </w:rPr>
            </w:pPr>
            <w:r w:rsidRPr="006A4E37">
              <w:rPr>
                <w:rFonts w:ascii="Arial" w:hAnsi="Arial"/>
              </w:rPr>
              <w:fldChar w:fldCharType="begin">
                <w:ffData>
                  <w:name w:val="Text13"/>
                  <w:enabled/>
                  <w:calcOnExit w:val="0"/>
                  <w:textInput>
                    <w:maxLength w:val="14"/>
                  </w:textInput>
                </w:ffData>
              </w:fldChar>
            </w:r>
            <w:r w:rsidRPr="006A4E37">
              <w:rPr>
                <w:rFonts w:ascii="Arial" w:hAnsi="Arial"/>
              </w:rPr>
              <w:instrText xml:space="preserve"> FORMTEXT </w:instrText>
            </w:r>
            <w:r w:rsidRPr="006A4E37">
              <w:rPr>
                <w:rFonts w:ascii="Arial" w:hAnsi="Arial"/>
              </w:rPr>
            </w:r>
            <w:r w:rsidRPr="006A4E37">
              <w:rPr>
                <w:rFonts w:ascii="Arial" w:hAnsi="Arial"/>
              </w:rPr>
              <w:fldChar w:fldCharType="separate"/>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fldChar w:fldCharType="end"/>
            </w:r>
          </w:p>
        </w:tc>
        <w:tc>
          <w:tcPr>
            <w:tcW w:w="3690" w:type="dxa"/>
            <w:vAlign w:val="bottom"/>
          </w:tcPr>
          <w:p w14:paraId="2483A937" w14:textId="77777777" w:rsidR="006335DF" w:rsidRPr="006A4E37" w:rsidRDefault="006335DF">
            <w:pPr>
              <w:rPr>
                <w:rFonts w:ascii="Arial" w:hAnsi="Arial"/>
              </w:rPr>
            </w:pPr>
          </w:p>
        </w:tc>
      </w:tr>
      <w:tr w:rsidR="0054228F" w:rsidRPr="006A4E37" w14:paraId="03D06C40" w14:textId="77777777">
        <w:tc>
          <w:tcPr>
            <w:tcW w:w="1728" w:type="dxa"/>
            <w:vAlign w:val="bottom"/>
          </w:tcPr>
          <w:p w14:paraId="07C388B8" w14:textId="77777777" w:rsidR="006335DF" w:rsidRPr="006A4E37" w:rsidRDefault="006335DF">
            <w:pPr>
              <w:rPr>
                <w:rFonts w:ascii="Arial" w:hAnsi="Arial"/>
              </w:rPr>
            </w:pPr>
          </w:p>
        </w:tc>
        <w:tc>
          <w:tcPr>
            <w:tcW w:w="2610" w:type="dxa"/>
            <w:vAlign w:val="bottom"/>
          </w:tcPr>
          <w:p w14:paraId="73609D9C" w14:textId="77777777" w:rsidR="006335DF" w:rsidRPr="006A4E37" w:rsidRDefault="0054228F">
            <w:pPr>
              <w:rPr>
                <w:rFonts w:ascii="Arial" w:hAnsi="Arial"/>
              </w:rPr>
            </w:pPr>
            <w:r w:rsidRPr="006A4E37">
              <w:rPr>
                <w:rFonts w:ascii="Arial" w:hAnsi="Arial"/>
              </w:rPr>
              <w:t>Tarifa excepcional</w:t>
            </w:r>
          </w:p>
        </w:tc>
        <w:tc>
          <w:tcPr>
            <w:tcW w:w="360" w:type="dxa"/>
            <w:vAlign w:val="bottom"/>
          </w:tcPr>
          <w:p w14:paraId="5C8B4E4D" w14:textId="77777777" w:rsidR="006335DF" w:rsidRPr="006A4E37" w:rsidRDefault="0054228F">
            <w:pPr>
              <w:rPr>
                <w:rFonts w:ascii="Arial" w:hAnsi="Arial"/>
              </w:rPr>
            </w:pPr>
            <w:r w:rsidRPr="006A4E37">
              <w:rPr>
                <w:rFonts w:ascii="Arial" w:hAnsi="Arial"/>
              </w:rPr>
              <w:t>$</w:t>
            </w:r>
          </w:p>
        </w:tc>
        <w:tc>
          <w:tcPr>
            <w:tcW w:w="2250" w:type="dxa"/>
            <w:tcBorders>
              <w:top w:val="single" w:sz="4" w:space="0" w:color="auto"/>
              <w:bottom w:val="single" w:sz="4" w:space="0" w:color="auto"/>
            </w:tcBorders>
            <w:vAlign w:val="bottom"/>
          </w:tcPr>
          <w:p w14:paraId="6747B7B6" w14:textId="77777777" w:rsidR="006335DF" w:rsidRPr="006A4E37" w:rsidRDefault="0054228F">
            <w:pPr>
              <w:rPr>
                <w:rFonts w:ascii="Arial" w:hAnsi="Arial"/>
              </w:rPr>
            </w:pPr>
            <w:r w:rsidRPr="006A4E37">
              <w:rPr>
                <w:rFonts w:ascii="Arial" w:hAnsi="Arial"/>
              </w:rPr>
              <w:fldChar w:fldCharType="begin">
                <w:ffData>
                  <w:name w:val="Text14"/>
                  <w:enabled/>
                  <w:calcOnExit w:val="0"/>
                  <w:textInput>
                    <w:maxLength w:val="14"/>
                  </w:textInput>
                </w:ffData>
              </w:fldChar>
            </w:r>
            <w:r w:rsidRPr="006A4E37">
              <w:rPr>
                <w:rFonts w:ascii="Arial" w:hAnsi="Arial"/>
              </w:rPr>
              <w:instrText xml:space="preserve"> FORMTEXT </w:instrText>
            </w:r>
            <w:r w:rsidRPr="006A4E37">
              <w:rPr>
                <w:rFonts w:ascii="Arial" w:hAnsi="Arial"/>
              </w:rPr>
            </w:r>
            <w:r w:rsidRPr="006A4E37">
              <w:rPr>
                <w:rFonts w:ascii="Arial" w:hAnsi="Arial"/>
              </w:rPr>
              <w:fldChar w:fldCharType="separate"/>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fldChar w:fldCharType="end"/>
            </w:r>
          </w:p>
        </w:tc>
        <w:tc>
          <w:tcPr>
            <w:tcW w:w="3690" w:type="dxa"/>
            <w:vAlign w:val="bottom"/>
          </w:tcPr>
          <w:p w14:paraId="455FB5DB" w14:textId="77777777" w:rsidR="006335DF" w:rsidRPr="006A4E37" w:rsidRDefault="006335DF">
            <w:pPr>
              <w:rPr>
                <w:rFonts w:ascii="Arial" w:hAnsi="Arial"/>
              </w:rPr>
            </w:pPr>
          </w:p>
        </w:tc>
      </w:tr>
      <w:tr w:rsidR="0054228F" w:rsidRPr="006A4E37" w14:paraId="09614E1B" w14:textId="77777777">
        <w:tc>
          <w:tcPr>
            <w:tcW w:w="1728" w:type="dxa"/>
          </w:tcPr>
          <w:p w14:paraId="6DD596FC" w14:textId="77777777" w:rsidR="006335DF" w:rsidRPr="006A4E37" w:rsidRDefault="006335DF">
            <w:pPr>
              <w:spacing w:before="160"/>
              <w:rPr>
                <w:rFonts w:ascii="Arial" w:hAnsi="Arial"/>
              </w:rPr>
            </w:pPr>
          </w:p>
        </w:tc>
        <w:tc>
          <w:tcPr>
            <w:tcW w:w="2610" w:type="dxa"/>
            <w:vAlign w:val="bottom"/>
          </w:tcPr>
          <w:p w14:paraId="360E232E" w14:textId="77777777" w:rsidR="006335DF" w:rsidRPr="006A4E37" w:rsidRDefault="0054228F">
            <w:pPr>
              <w:pStyle w:val="Header"/>
              <w:tabs>
                <w:tab w:val="clear" w:pos="4320"/>
                <w:tab w:val="clear" w:pos="8640"/>
              </w:tabs>
              <w:spacing w:before="160"/>
              <w:rPr>
                <w:rFonts w:ascii="Arial" w:hAnsi="Arial"/>
              </w:rPr>
            </w:pPr>
            <w:r w:rsidRPr="006A4E37">
              <w:rPr>
                <w:rFonts w:ascii="Arial" w:hAnsi="Arial"/>
              </w:rPr>
              <w:t>Total</w:t>
            </w:r>
          </w:p>
        </w:tc>
        <w:tc>
          <w:tcPr>
            <w:tcW w:w="360" w:type="dxa"/>
            <w:vAlign w:val="bottom"/>
          </w:tcPr>
          <w:p w14:paraId="57686943" w14:textId="77777777" w:rsidR="006335DF" w:rsidRPr="006A4E37" w:rsidRDefault="0054228F">
            <w:pPr>
              <w:spacing w:before="160"/>
              <w:rPr>
                <w:rFonts w:ascii="Arial" w:hAnsi="Arial"/>
              </w:rPr>
            </w:pPr>
            <w:r w:rsidRPr="006A4E37">
              <w:rPr>
                <w:rFonts w:ascii="Arial" w:hAnsi="Arial"/>
              </w:rPr>
              <w:t>$</w:t>
            </w:r>
          </w:p>
        </w:tc>
        <w:tc>
          <w:tcPr>
            <w:tcW w:w="2250" w:type="dxa"/>
            <w:tcBorders>
              <w:top w:val="single" w:sz="4" w:space="0" w:color="auto"/>
              <w:bottom w:val="single" w:sz="4" w:space="0" w:color="auto"/>
            </w:tcBorders>
          </w:tcPr>
          <w:p w14:paraId="5B9B091A" w14:textId="77777777" w:rsidR="006335DF" w:rsidRPr="006A4E37" w:rsidRDefault="0054228F">
            <w:pPr>
              <w:pStyle w:val="Header"/>
              <w:tabs>
                <w:tab w:val="clear" w:pos="4320"/>
                <w:tab w:val="clear" w:pos="8640"/>
              </w:tabs>
              <w:spacing w:before="160"/>
              <w:rPr>
                <w:rFonts w:ascii="Arial" w:hAnsi="Arial"/>
              </w:rPr>
            </w:pPr>
            <w:r w:rsidRPr="006A4E37">
              <w:rPr>
                <w:rFonts w:ascii="Arial" w:hAnsi="Arial"/>
              </w:rPr>
              <w:fldChar w:fldCharType="begin">
                <w:ffData>
                  <w:name w:val="Text15"/>
                  <w:enabled/>
                  <w:calcOnExit w:val="0"/>
                  <w:textInput>
                    <w:maxLength w:val="14"/>
                  </w:textInput>
                </w:ffData>
              </w:fldChar>
            </w:r>
            <w:r w:rsidRPr="006A4E37">
              <w:rPr>
                <w:rFonts w:ascii="Arial" w:hAnsi="Arial"/>
              </w:rPr>
              <w:instrText xml:space="preserve"> FORMTEXT </w:instrText>
            </w:r>
            <w:r w:rsidRPr="006A4E37">
              <w:rPr>
                <w:rFonts w:ascii="Arial" w:hAnsi="Arial"/>
              </w:rPr>
            </w:r>
            <w:r w:rsidRPr="006A4E37">
              <w:rPr>
                <w:rFonts w:ascii="Arial" w:hAnsi="Arial"/>
              </w:rPr>
              <w:fldChar w:fldCharType="separate"/>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fldChar w:fldCharType="end"/>
            </w:r>
          </w:p>
        </w:tc>
        <w:tc>
          <w:tcPr>
            <w:tcW w:w="3690" w:type="dxa"/>
            <w:vAlign w:val="bottom"/>
          </w:tcPr>
          <w:p w14:paraId="65B91B83" w14:textId="77777777" w:rsidR="006335DF" w:rsidRPr="006A4E37" w:rsidRDefault="006335DF">
            <w:pPr>
              <w:pStyle w:val="Header"/>
              <w:tabs>
                <w:tab w:val="clear" w:pos="4320"/>
                <w:tab w:val="clear" w:pos="8640"/>
              </w:tabs>
              <w:spacing w:before="160"/>
              <w:rPr>
                <w:rFonts w:ascii="Arial" w:hAnsi="Arial"/>
              </w:rPr>
            </w:pPr>
          </w:p>
        </w:tc>
      </w:tr>
    </w:tbl>
    <w:p w14:paraId="74FE094B" w14:textId="77777777" w:rsidR="006335DF" w:rsidRPr="006A4E37" w:rsidRDefault="006335DF">
      <w:pPr>
        <w:rPr>
          <w:rFonts w:ascii="Arial" w:hAnsi="Arial"/>
        </w:rPr>
      </w:pPr>
    </w:p>
    <w:p w14:paraId="50B777E2" w14:textId="77777777" w:rsidR="006335DF" w:rsidRPr="006A4E37" w:rsidRDefault="006335DF">
      <w:pPr>
        <w:rPr>
          <w:rFonts w:ascii="Arial" w:hAnsi="Arial"/>
        </w:rPr>
      </w:pPr>
    </w:p>
    <w:p w14:paraId="297EF9D6" w14:textId="77777777" w:rsidR="006335DF" w:rsidRPr="006A4E37" w:rsidRDefault="0054228F">
      <w:pPr>
        <w:rPr>
          <w:rFonts w:ascii="Arial" w:hAnsi="Arial"/>
        </w:rPr>
      </w:pPr>
      <w:r w:rsidRPr="006A4E37">
        <w:rPr>
          <w:rFonts w:ascii="Arial" w:hAnsi="Arial"/>
        </w:rPr>
        <w:t>Si considera que este importe no refleja con exactitud la tarifa que debería recibir, puede optar por apelar la decisión. La apelación se tramita mediante un procedimiento de audiencia administrativa. Para solicitar una audiencia sobre su tarifa de reembolso por acogida temporal, envíe un aviso a la siguiente dirección:</w:t>
      </w:r>
    </w:p>
    <w:p w14:paraId="07434D54" w14:textId="77777777" w:rsidR="006335DF" w:rsidRPr="006A4E37" w:rsidRDefault="006335DF">
      <w:pPr>
        <w:rPr>
          <w:rFonts w:ascii="Arial" w:hAnsi="Arial"/>
        </w:rPr>
      </w:pPr>
    </w:p>
    <w:p w14:paraId="3BFA470A" w14:textId="77777777" w:rsidR="006335DF" w:rsidRPr="006A4E37" w:rsidRDefault="0054228F">
      <w:pPr>
        <w:tabs>
          <w:tab w:val="left" w:pos="4050"/>
        </w:tabs>
        <w:rPr>
          <w:rFonts w:ascii="Arial" w:hAnsi="Arial"/>
        </w:rPr>
      </w:pPr>
      <w:r w:rsidRPr="006A4E37">
        <w:rPr>
          <w:rFonts w:ascii="Arial" w:hAnsi="Arial"/>
        </w:rPr>
        <w:tab/>
        <w:t>Division of Hearings and Appeals</w:t>
      </w:r>
    </w:p>
    <w:p w14:paraId="0B8414F7" w14:textId="77777777" w:rsidR="006335DF" w:rsidRPr="006A4E37" w:rsidRDefault="0054228F">
      <w:pPr>
        <w:tabs>
          <w:tab w:val="left" w:pos="4050"/>
        </w:tabs>
        <w:rPr>
          <w:rFonts w:ascii="Arial" w:hAnsi="Arial"/>
        </w:rPr>
      </w:pPr>
      <w:r w:rsidRPr="006A4E37">
        <w:rPr>
          <w:rFonts w:ascii="Arial" w:hAnsi="Arial"/>
        </w:rPr>
        <w:tab/>
        <w:t>P.O. Box 7875</w:t>
      </w:r>
    </w:p>
    <w:p w14:paraId="65250266" w14:textId="77777777" w:rsidR="006335DF" w:rsidRPr="006A4E37" w:rsidRDefault="0054228F">
      <w:pPr>
        <w:tabs>
          <w:tab w:val="left" w:pos="4050"/>
        </w:tabs>
        <w:rPr>
          <w:rFonts w:ascii="Arial" w:hAnsi="Arial"/>
        </w:rPr>
      </w:pPr>
      <w:r w:rsidRPr="006A4E37">
        <w:rPr>
          <w:rFonts w:ascii="Arial" w:hAnsi="Arial"/>
        </w:rPr>
        <w:tab/>
        <w:t>Madison, WI 53707-7875</w:t>
      </w:r>
    </w:p>
    <w:p w14:paraId="57D9E582" w14:textId="77777777" w:rsidR="006335DF" w:rsidRPr="006A4E37" w:rsidRDefault="006335DF">
      <w:pPr>
        <w:tabs>
          <w:tab w:val="left" w:pos="4050"/>
        </w:tabs>
        <w:rPr>
          <w:rFonts w:ascii="Arial" w:hAnsi="Arial"/>
        </w:rPr>
      </w:pPr>
    </w:p>
    <w:p w14:paraId="5D469FFD" w14:textId="77777777" w:rsidR="006335DF" w:rsidRPr="006A4E37" w:rsidRDefault="0054228F">
      <w:pPr>
        <w:tabs>
          <w:tab w:val="left" w:pos="4050"/>
        </w:tabs>
        <w:rPr>
          <w:rFonts w:ascii="Arial" w:hAnsi="Arial"/>
        </w:rPr>
      </w:pPr>
      <w:r w:rsidRPr="006A4E37">
        <w:rPr>
          <w:rFonts w:ascii="Arial" w:hAnsi="Arial"/>
        </w:rPr>
        <w:t>Si desea apelar el importe final de la tarifa, debe solicitar la audiencia de apelación a más tardar sesenta (60) días después de recibir este aviso del importe final de la tarifa. En la solicitud de audiencia, indique que apela la tarifa por acogida temporal.</w:t>
      </w:r>
    </w:p>
    <w:p w14:paraId="79749F19" w14:textId="77777777" w:rsidR="006335DF" w:rsidRPr="006A4E37" w:rsidRDefault="006335DF">
      <w:pPr>
        <w:rPr>
          <w:rFonts w:ascii="Arial" w:hAnsi="Arial"/>
        </w:rPr>
      </w:pPr>
    </w:p>
    <w:p w14:paraId="0A087B65" w14:textId="77777777" w:rsidR="006335DF" w:rsidRPr="006A4E37" w:rsidRDefault="0054228F">
      <w:pPr>
        <w:rPr>
          <w:rFonts w:ascii="Arial" w:hAnsi="Arial"/>
        </w:rPr>
      </w:pPr>
      <w:r w:rsidRPr="006A4E37">
        <w:rPr>
          <w:rFonts w:ascii="Arial" w:hAnsi="Arial"/>
        </w:rPr>
        <w:t>Atentamente,</w:t>
      </w:r>
    </w:p>
    <w:p w14:paraId="0272882B" w14:textId="77777777" w:rsidR="006335DF" w:rsidRPr="006A4E37" w:rsidRDefault="006335DF">
      <w:pPr>
        <w:rPr>
          <w:rFonts w:ascii="Arial" w:hAnsi="Arial"/>
        </w:rPr>
      </w:pPr>
    </w:p>
    <w:p w14:paraId="7EDE8F1E" w14:textId="77777777" w:rsidR="006335DF" w:rsidRPr="006A4E37" w:rsidRDefault="006335DF">
      <w:pPr>
        <w:rPr>
          <w:rFonts w:ascii="Arial" w:hAnsi="Arial"/>
        </w:rPr>
      </w:pPr>
    </w:p>
    <w:p w14:paraId="3B256644" w14:textId="77777777" w:rsidR="006335DF" w:rsidRPr="006A4E37" w:rsidRDefault="006335DF">
      <w:pPr>
        <w:rPr>
          <w:rFonts w:ascii="Arial" w:hAnsi="Arial"/>
        </w:rPr>
      </w:pPr>
    </w:p>
    <w:p w14:paraId="24D10C8E" w14:textId="77777777" w:rsidR="006335DF" w:rsidRPr="006A4E37" w:rsidRDefault="0054228F">
      <w:r w:rsidRPr="006A4E37">
        <w:rPr>
          <w:rFonts w:ascii="Arial" w:hAnsi="Arial"/>
        </w:rPr>
        <w:fldChar w:fldCharType="begin">
          <w:ffData>
            <w:name w:val="Text16"/>
            <w:enabled/>
            <w:calcOnExit w:val="0"/>
            <w:textInput>
              <w:maxLength w:val="55"/>
            </w:textInput>
          </w:ffData>
        </w:fldChar>
      </w:r>
      <w:r w:rsidRPr="006A4E37">
        <w:rPr>
          <w:rFonts w:ascii="Arial" w:hAnsi="Arial"/>
        </w:rPr>
        <w:instrText xml:space="preserve"> FORMTEXT </w:instrText>
      </w:r>
      <w:r w:rsidRPr="006A4E37">
        <w:rPr>
          <w:rFonts w:ascii="Arial" w:hAnsi="Arial"/>
        </w:rPr>
      </w:r>
      <w:r w:rsidRPr="006A4E37">
        <w:rPr>
          <w:rFonts w:ascii="Arial" w:hAnsi="Arial"/>
        </w:rPr>
        <w:fldChar w:fldCharType="separate"/>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t> </w:t>
      </w:r>
      <w:r w:rsidRPr="006A4E37">
        <w:rPr>
          <w:rFonts w:ascii="Arial" w:hAnsi="Arial"/>
        </w:rPr>
        <w:fldChar w:fldCharType="end"/>
      </w:r>
      <w:r w:rsidRPr="006A4E37">
        <w:rPr>
          <w:rFonts w:ascii="Arial" w:hAnsi="Arial"/>
        </w:rPr>
        <w:t>, trabajador social</w:t>
      </w:r>
    </w:p>
    <w:p w14:paraId="02DB72DD" w14:textId="77777777" w:rsidR="006335DF" w:rsidRPr="006A4E37" w:rsidRDefault="006335DF"/>
    <w:p w14:paraId="37D24281" w14:textId="77777777" w:rsidR="006335DF" w:rsidRPr="006A4E37" w:rsidRDefault="006335DF"/>
    <w:p w14:paraId="184E2DE1" w14:textId="77777777" w:rsidR="006335DF" w:rsidRPr="006A4E37" w:rsidRDefault="006335DF"/>
    <w:sectPr w:rsidR="006335DF" w:rsidRPr="006A4E37">
      <w:footerReference w:type="default" r:id="rId6"/>
      <w:pgSz w:w="12240" w:h="15840" w:code="1"/>
      <w:pgMar w:top="2880" w:right="432" w:bottom="475" w:left="432" w:header="475"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828B5" w14:textId="77777777" w:rsidR="00880947" w:rsidRDefault="00880947">
      <w:r>
        <w:separator/>
      </w:r>
    </w:p>
  </w:endnote>
  <w:endnote w:type="continuationSeparator" w:id="0">
    <w:p w14:paraId="2287472A" w14:textId="77777777" w:rsidR="00880947" w:rsidRDefault="0088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11592"/>
    </w:tblGrid>
    <w:tr w:rsidR="0054228F" w:rsidRPr="006A4E37" w14:paraId="402FBC34" w14:textId="77777777">
      <w:tc>
        <w:tcPr>
          <w:tcW w:w="11592" w:type="dxa"/>
        </w:tcPr>
        <w:p w14:paraId="3CA92651" w14:textId="77777777" w:rsidR="006335DF" w:rsidRPr="006A4E37" w:rsidRDefault="0054228F">
          <w:pPr>
            <w:pStyle w:val="Footer"/>
            <w:rPr>
              <w:sz w:val="18"/>
            </w:rPr>
          </w:pPr>
          <w:r w:rsidRPr="006A4E37">
            <w:rPr>
              <w:rFonts w:ascii="Arial" w:hAnsi="Arial"/>
              <w:sz w:val="18"/>
            </w:rPr>
            <w:t>Foster Care Rate Setting Reevaluation Results Notification</w:t>
          </w:r>
        </w:p>
      </w:tc>
    </w:tr>
    <w:tr w:rsidR="0054228F" w:rsidRPr="006A4E37" w14:paraId="6ADF353D" w14:textId="77777777">
      <w:tc>
        <w:tcPr>
          <w:tcW w:w="11592" w:type="dxa"/>
        </w:tcPr>
        <w:p w14:paraId="0253FB60" w14:textId="77777777" w:rsidR="006335DF" w:rsidRPr="006A4E37" w:rsidRDefault="0054228F">
          <w:pPr>
            <w:pStyle w:val="Footer"/>
            <w:rPr>
              <w:sz w:val="18"/>
            </w:rPr>
          </w:pPr>
          <w:r w:rsidRPr="006A4E37">
            <w:rPr>
              <w:rFonts w:ascii="Arial" w:hAnsi="Arial"/>
              <w:sz w:val="18"/>
            </w:rPr>
            <w:t>DCF-F-CFS2253-E</w:t>
          </w:r>
          <w:r w:rsidR="009609FA">
            <w:rPr>
              <w:rFonts w:ascii="Arial" w:hAnsi="Arial"/>
              <w:sz w:val="18"/>
            </w:rPr>
            <w:t>-</w:t>
          </w:r>
          <w:r w:rsidR="00984CF8">
            <w:rPr>
              <w:rFonts w:ascii="Arial" w:hAnsi="Arial"/>
              <w:sz w:val="18"/>
            </w:rPr>
            <w:t>S</w:t>
          </w:r>
          <w:r w:rsidRPr="006A4E37">
            <w:rPr>
              <w:rFonts w:ascii="Arial" w:hAnsi="Arial"/>
              <w:sz w:val="18"/>
            </w:rPr>
            <w:t xml:space="preserve"> (R. 03/2011)</w:t>
          </w:r>
          <w:r w:rsidR="00CB787F">
            <w:rPr>
              <w:rFonts w:ascii="Arial" w:hAnsi="Arial"/>
              <w:sz w:val="18"/>
            </w:rPr>
            <w:t xml:space="preserve"> </w:t>
          </w:r>
          <w:r w:rsidR="009609FA">
            <w:rPr>
              <w:rFonts w:ascii="Arial" w:hAnsi="Arial"/>
              <w:sz w:val="18"/>
            </w:rPr>
            <w:t>(T. 02/2025)</w:t>
          </w:r>
        </w:p>
      </w:tc>
    </w:tr>
  </w:tbl>
  <w:p w14:paraId="100A5B2E" w14:textId="77777777" w:rsidR="006335DF" w:rsidRPr="006A4E37" w:rsidRDefault="006335DF" w:rsidP="00CB7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868F5" w14:textId="77777777" w:rsidR="00880947" w:rsidRDefault="00880947">
      <w:r>
        <w:separator/>
      </w:r>
    </w:p>
  </w:footnote>
  <w:footnote w:type="continuationSeparator" w:id="0">
    <w:p w14:paraId="78E2305C" w14:textId="77777777" w:rsidR="00880947" w:rsidRDefault="008809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gYd60PoucckIvrJzk13uO2Jyj57Istho2NAvVqegQaJodlgfcXrTRKoywFWkU4oNDbMCwD0LCkmidffQvh/g==" w:salt="mzqWT6EDAU1AcsZJKniBe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094"/>
    <w:rsid w:val="00171DB2"/>
    <w:rsid w:val="002956AC"/>
    <w:rsid w:val="00492094"/>
    <w:rsid w:val="00540695"/>
    <w:rsid w:val="0054228F"/>
    <w:rsid w:val="0056145F"/>
    <w:rsid w:val="006335DF"/>
    <w:rsid w:val="00683C43"/>
    <w:rsid w:val="006A4E37"/>
    <w:rsid w:val="00880947"/>
    <w:rsid w:val="008E7795"/>
    <w:rsid w:val="00922540"/>
    <w:rsid w:val="009609FA"/>
    <w:rsid w:val="00984CF8"/>
    <w:rsid w:val="009F5374"/>
    <w:rsid w:val="00CB787F"/>
    <w:rsid w:val="00D20E92"/>
    <w:rsid w:val="00EC60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CB3EC3"/>
  <w15:chartTrackingRefBased/>
  <w15:docId w15:val="{530791D2-861C-4BD5-B28C-6058F8BE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rPr>
  </w:style>
  <w:style w:type="paragraph" w:styleId="CommentText">
    <w:name w:val="annotation text"/>
    <w:basedOn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1404</Characters>
  <Application>Microsoft Office Word</Application>
  <DocSecurity>0</DocSecurity>
  <Lines>42</Lines>
  <Paragraphs>35</Paragraphs>
  <ScaleCrop>false</ScaleCrop>
  <HeadingPairs>
    <vt:vector size="2" baseType="variant">
      <vt:variant>
        <vt:lpstr>Title</vt:lpstr>
      </vt:variant>
      <vt:variant>
        <vt:i4>1</vt:i4>
      </vt:variant>
    </vt:vector>
  </HeadingPairs>
  <TitlesOfParts>
    <vt:vector size="1" baseType="lpstr">
      <vt:lpstr>Foster Care Rate Setting Reevaluation Results Notification (Spanish), DCF-F-CFS2253-E-S</vt:lpstr>
    </vt:vector>
  </TitlesOfParts>
  <Company>DCF - State of Wisconsin</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Foster Care Rate Setting Reevaluation Results Notification (Spanish), DCF-F-CFS2253-E-S</dc:title>
  <dc:subject>Division of Safety and Permanence</dc:subject>
  <dc:creator/>
  <cp:keywords>department of children and families, division of safety and permanence, bureau of permanence and out of home care, dcf-f-cfs2253-e-s foster care rate setting reevaulation results notification, dcf-f-cfs2253-e-s, foster care rate setting reevaulation results notification, Resultados de la revisión de la tarifa por acogida temporal</cp:keywords>
  <dc:description>R. 03/2011. T. 02/2025.</dc:description>
  <cp:lastModifiedBy>Kramer, Kathleen M - DCF</cp:lastModifiedBy>
  <cp:revision>4</cp:revision>
  <cp:lastPrinted>2011-03-28T17:30:00Z</cp:lastPrinted>
  <dcterms:created xsi:type="dcterms:W3CDTF">2025-03-12T20:02:00Z</dcterms:created>
  <dcterms:modified xsi:type="dcterms:W3CDTF">2025-03-12T20:02:00Z</dcterms:modified>
  <cp:category>Forms</cp:category>
</cp:coreProperties>
</file>