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0E7C2E" w14:textId="32EB33D7" w:rsidR="00881327" w:rsidRDefault="005B1337">
      <w:pPr>
        <w:rPr>
          <w:b/>
          <w:bCs/>
          <w:u w:val="single"/>
        </w:rPr>
      </w:pPr>
      <w:r w:rsidRPr="00FE3A8D">
        <w:rPr>
          <w:b/>
          <w:bCs/>
          <w:u w:val="single"/>
        </w:rPr>
        <w:t>WWP EA Post-Production Follow-Up</w:t>
      </w:r>
    </w:p>
    <w:p w14:paraId="04307DD3" w14:textId="06C9D91A" w:rsidR="00D830C7" w:rsidRPr="00D830C7" w:rsidRDefault="00D830C7">
      <w:pPr>
        <w:rPr>
          <w:b/>
          <w:bCs/>
        </w:rPr>
      </w:pPr>
      <w:r w:rsidRPr="00D830C7">
        <w:rPr>
          <w:b/>
          <w:bCs/>
        </w:rPr>
        <w:t xml:space="preserve">Last updated </w:t>
      </w:r>
      <w:r w:rsidR="00161B43">
        <w:rPr>
          <w:b/>
          <w:bCs/>
        </w:rPr>
        <w:t>2</w:t>
      </w:r>
      <w:r w:rsidRPr="00D830C7">
        <w:rPr>
          <w:b/>
          <w:bCs/>
        </w:rPr>
        <w:t>/</w:t>
      </w:r>
      <w:r w:rsidR="00161B43">
        <w:rPr>
          <w:b/>
          <w:bCs/>
        </w:rPr>
        <w:t>1</w:t>
      </w:r>
      <w:r w:rsidR="00DF3234">
        <w:rPr>
          <w:b/>
          <w:bCs/>
        </w:rPr>
        <w:t>5</w:t>
      </w:r>
      <w:r w:rsidRPr="00D830C7">
        <w:rPr>
          <w:b/>
          <w:bCs/>
        </w:rPr>
        <w:t>/21</w:t>
      </w:r>
    </w:p>
    <w:p w14:paraId="53BEE885" w14:textId="77777777" w:rsidR="00D541F7" w:rsidRPr="00FE3A8D" w:rsidRDefault="005B1337">
      <w:r w:rsidRPr="00FE3A8D">
        <w:t>This document includes the following: policy</w:t>
      </w:r>
      <w:r w:rsidR="00B07092" w:rsidRPr="00FE3A8D">
        <w:t xml:space="preserve">, </w:t>
      </w:r>
      <w:r w:rsidRPr="00FE3A8D">
        <w:t>system functionality</w:t>
      </w:r>
      <w:r w:rsidR="00B07092" w:rsidRPr="00FE3A8D">
        <w:t>, and WebI report</w:t>
      </w:r>
      <w:r w:rsidRPr="00FE3A8D">
        <w:t xml:space="preserve"> clarification, system enhancement requests, and identified issues.</w:t>
      </w:r>
    </w:p>
    <w:tbl>
      <w:tblPr>
        <w:tblStyle w:val="TableGrid"/>
        <w:tblW w:w="13855" w:type="dxa"/>
        <w:tblLook w:val="04A0" w:firstRow="1" w:lastRow="0" w:firstColumn="1" w:lastColumn="0" w:noHBand="0" w:noVBand="1"/>
      </w:tblPr>
      <w:tblGrid>
        <w:gridCol w:w="355"/>
        <w:gridCol w:w="3510"/>
        <w:gridCol w:w="8460"/>
        <w:gridCol w:w="1530"/>
      </w:tblGrid>
      <w:tr w:rsidR="001C23BC" w:rsidRPr="00FE3A8D" w14:paraId="20FC677D" w14:textId="77777777" w:rsidTr="00D541F7">
        <w:tc>
          <w:tcPr>
            <w:tcW w:w="355" w:type="dxa"/>
          </w:tcPr>
          <w:p w14:paraId="5DEB213D" w14:textId="77777777" w:rsidR="001C23BC" w:rsidRPr="00FE3A8D" w:rsidRDefault="000A169B">
            <w:pPr>
              <w:rPr>
                <w:b/>
                <w:bCs/>
              </w:rPr>
            </w:pPr>
            <w:r w:rsidRPr="00FE3A8D">
              <w:rPr>
                <w:b/>
                <w:bCs/>
              </w:rPr>
              <w:t>#</w:t>
            </w:r>
          </w:p>
        </w:tc>
        <w:tc>
          <w:tcPr>
            <w:tcW w:w="3510" w:type="dxa"/>
          </w:tcPr>
          <w:p w14:paraId="206702B8" w14:textId="77777777" w:rsidR="001C23BC" w:rsidRPr="00FE3A8D" w:rsidRDefault="001C23BC">
            <w:pPr>
              <w:rPr>
                <w:b/>
                <w:bCs/>
              </w:rPr>
            </w:pPr>
            <w:r w:rsidRPr="00FE3A8D">
              <w:rPr>
                <w:b/>
                <w:bCs/>
              </w:rPr>
              <w:t>System Issue</w:t>
            </w:r>
          </w:p>
        </w:tc>
        <w:tc>
          <w:tcPr>
            <w:tcW w:w="8460" w:type="dxa"/>
          </w:tcPr>
          <w:p w14:paraId="2AE0135A" w14:textId="77777777" w:rsidR="001C23BC" w:rsidRPr="00FE3A8D" w:rsidRDefault="001C23BC">
            <w:pPr>
              <w:rPr>
                <w:b/>
                <w:bCs/>
              </w:rPr>
            </w:pPr>
            <w:r w:rsidRPr="00FE3A8D">
              <w:rPr>
                <w:b/>
                <w:bCs/>
              </w:rPr>
              <w:t>Status</w:t>
            </w:r>
          </w:p>
        </w:tc>
        <w:tc>
          <w:tcPr>
            <w:tcW w:w="1530" w:type="dxa"/>
          </w:tcPr>
          <w:p w14:paraId="71533A9C" w14:textId="77777777" w:rsidR="001C23BC" w:rsidRPr="00FE3A8D" w:rsidRDefault="001C23BC">
            <w:pPr>
              <w:rPr>
                <w:b/>
                <w:bCs/>
              </w:rPr>
            </w:pPr>
            <w:r w:rsidRPr="00FE3A8D">
              <w:rPr>
                <w:b/>
                <w:bCs/>
              </w:rPr>
              <w:t>Last Updated</w:t>
            </w:r>
          </w:p>
        </w:tc>
      </w:tr>
      <w:tr w:rsidR="001C23BC" w:rsidRPr="00FE3A8D" w14:paraId="4997EBF8" w14:textId="77777777" w:rsidTr="00D541F7">
        <w:tc>
          <w:tcPr>
            <w:tcW w:w="355" w:type="dxa"/>
          </w:tcPr>
          <w:p w14:paraId="0E1AE0C8" w14:textId="77777777" w:rsidR="001C23BC" w:rsidRPr="00FE3A8D" w:rsidRDefault="001C23BC">
            <w:r w:rsidRPr="00FE3A8D">
              <w:t>1</w:t>
            </w:r>
          </w:p>
        </w:tc>
        <w:tc>
          <w:tcPr>
            <w:tcW w:w="3510" w:type="dxa"/>
          </w:tcPr>
          <w:p w14:paraId="382E1F3D" w14:textId="77777777" w:rsidR="001C23BC" w:rsidRPr="00AE7038" w:rsidRDefault="001C23BC">
            <w:r w:rsidRPr="00AE7038">
              <w:t>Some notices aren’t displayed in CWW</w:t>
            </w:r>
          </w:p>
        </w:tc>
        <w:tc>
          <w:tcPr>
            <w:tcW w:w="8460" w:type="dxa"/>
          </w:tcPr>
          <w:p w14:paraId="23667B88" w14:textId="77777777" w:rsidR="001C23BC" w:rsidRPr="00AE7038" w:rsidRDefault="008632C1">
            <w:r w:rsidRPr="00AE7038">
              <w:t xml:space="preserve">BITS is researching the root cause. </w:t>
            </w:r>
            <w:r w:rsidR="00F05241" w:rsidRPr="00AE7038">
              <w:t>Until this is resolved, a</w:t>
            </w:r>
            <w:r w:rsidR="000A169B" w:rsidRPr="00AE7038">
              <w:t>gencies will receive a daily list of PINS that need manual notices generated and scanned into ECF.</w:t>
            </w:r>
          </w:p>
          <w:p w14:paraId="19D216DE" w14:textId="77777777" w:rsidR="006D118F" w:rsidRPr="00AE7038" w:rsidRDefault="006D118F"/>
          <w:p w14:paraId="646CE194" w14:textId="77777777" w:rsidR="006D118F" w:rsidRDefault="00BE2C3A">
            <w:r w:rsidRPr="00AE7038">
              <w:t xml:space="preserve">Update 1/11/21: BITS found the root cause, and </w:t>
            </w:r>
            <w:r w:rsidRPr="00F20394">
              <w:rPr>
                <w:b/>
                <w:bCs/>
              </w:rPr>
              <w:t>this will be fixed 1/13/21</w:t>
            </w:r>
            <w:r w:rsidRPr="00AE7038">
              <w:t xml:space="preserve">. </w:t>
            </w:r>
          </w:p>
          <w:p w14:paraId="5C71450B" w14:textId="3B233F77" w:rsidR="00F20394" w:rsidRPr="00F20394" w:rsidRDefault="00F20394">
            <w:pPr>
              <w:rPr>
                <w:b/>
                <w:bCs/>
              </w:rPr>
            </w:pPr>
          </w:p>
        </w:tc>
        <w:tc>
          <w:tcPr>
            <w:tcW w:w="1530" w:type="dxa"/>
          </w:tcPr>
          <w:p w14:paraId="0072A7B1" w14:textId="3C0D5F55" w:rsidR="001C23BC" w:rsidRPr="00AE7038" w:rsidRDefault="000A169B">
            <w:r w:rsidRPr="00AE7038">
              <w:t>1/</w:t>
            </w:r>
            <w:r w:rsidR="006D118F" w:rsidRPr="00AE7038">
              <w:t>11</w:t>
            </w:r>
            <w:r w:rsidRPr="00AE7038">
              <w:t>/21</w:t>
            </w:r>
          </w:p>
        </w:tc>
      </w:tr>
      <w:tr w:rsidR="001C23BC" w:rsidRPr="00FE3A8D" w14:paraId="3033EB47" w14:textId="77777777" w:rsidTr="00D541F7">
        <w:tc>
          <w:tcPr>
            <w:tcW w:w="355" w:type="dxa"/>
          </w:tcPr>
          <w:p w14:paraId="64446B8C" w14:textId="77777777" w:rsidR="001C23BC" w:rsidRPr="00FE3A8D" w:rsidRDefault="00E12F0D">
            <w:r w:rsidRPr="00FE3A8D">
              <w:t>2</w:t>
            </w:r>
          </w:p>
        </w:tc>
        <w:tc>
          <w:tcPr>
            <w:tcW w:w="3510" w:type="dxa"/>
          </w:tcPr>
          <w:p w14:paraId="2FDED917" w14:textId="77777777" w:rsidR="001C23BC" w:rsidRPr="00AE7038" w:rsidRDefault="00E12F0D">
            <w:r w:rsidRPr="00AE7038">
              <w:t xml:space="preserve">Some applications entered into WWP aren’t displaying in WWP. </w:t>
            </w:r>
            <w:r w:rsidR="00AF49DB" w:rsidRPr="00AE7038">
              <w:t>If the agency creates a new application, then duplicate applications may display.</w:t>
            </w:r>
          </w:p>
        </w:tc>
        <w:tc>
          <w:tcPr>
            <w:tcW w:w="8460" w:type="dxa"/>
          </w:tcPr>
          <w:p w14:paraId="133B0B2B" w14:textId="0F081CC4" w:rsidR="001C23BC" w:rsidRPr="00AE7038" w:rsidRDefault="00E12F0D">
            <w:r w:rsidRPr="00AE7038">
              <w:t>BITS</w:t>
            </w:r>
            <w:r w:rsidR="00C7688F" w:rsidRPr="00AE7038">
              <w:t xml:space="preserve"> will have this </w:t>
            </w:r>
            <w:r w:rsidR="00C7688F" w:rsidRPr="00F20394">
              <w:rPr>
                <w:b/>
                <w:bCs/>
              </w:rPr>
              <w:t>fixed by 1/8/21</w:t>
            </w:r>
            <w:r w:rsidR="00C7688F" w:rsidRPr="00AE7038">
              <w:t>.</w:t>
            </w:r>
            <w:r w:rsidR="00EC6281" w:rsidRPr="00AE7038">
              <w:t xml:space="preserve"> Once the issue is fixed, </w:t>
            </w:r>
            <w:r w:rsidR="00C7688F" w:rsidRPr="00AE7038">
              <w:t>we will address</w:t>
            </w:r>
            <w:r w:rsidR="00EC6281" w:rsidRPr="00AE7038">
              <w:t xml:space="preserve"> clean-up </w:t>
            </w:r>
            <w:r w:rsidR="00C7688F" w:rsidRPr="00AE7038">
              <w:t xml:space="preserve">of </w:t>
            </w:r>
            <w:r w:rsidR="00EC6281" w:rsidRPr="00AE7038">
              <w:t>any duplicate requests created.</w:t>
            </w:r>
          </w:p>
        </w:tc>
        <w:tc>
          <w:tcPr>
            <w:tcW w:w="1530" w:type="dxa"/>
          </w:tcPr>
          <w:p w14:paraId="5B2832DB" w14:textId="45443217" w:rsidR="001C23BC" w:rsidRPr="00AE7038" w:rsidRDefault="00E12F0D">
            <w:r w:rsidRPr="00AE7038">
              <w:t>1/</w:t>
            </w:r>
            <w:r w:rsidR="00C7688F" w:rsidRPr="00AE7038">
              <w:t>7</w:t>
            </w:r>
            <w:r w:rsidRPr="00AE7038">
              <w:t>/21</w:t>
            </w:r>
          </w:p>
        </w:tc>
      </w:tr>
    </w:tbl>
    <w:p w14:paraId="52D5D5F6" w14:textId="74EEEB40" w:rsidR="00D541F7" w:rsidRPr="00FE3A8D" w:rsidRDefault="00D541F7"/>
    <w:p w14:paraId="0CC3FC3A" w14:textId="77777777" w:rsidR="00704B1D" w:rsidRPr="00FE3A8D" w:rsidRDefault="00704B1D"/>
    <w:tbl>
      <w:tblPr>
        <w:tblStyle w:val="TableGrid"/>
        <w:tblW w:w="13855" w:type="dxa"/>
        <w:tblLook w:val="04A0" w:firstRow="1" w:lastRow="0" w:firstColumn="1" w:lastColumn="0" w:noHBand="0" w:noVBand="1"/>
      </w:tblPr>
      <w:tblGrid>
        <w:gridCol w:w="440"/>
        <w:gridCol w:w="3496"/>
        <w:gridCol w:w="8394"/>
        <w:gridCol w:w="1525"/>
      </w:tblGrid>
      <w:tr w:rsidR="00D12D35" w:rsidRPr="00FE3A8D" w14:paraId="07EEEC50" w14:textId="77777777" w:rsidTr="00D541F7">
        <w:tc>
          <w:tcPr>
            <w:tcW w:w="355" w:type="dxa"/>
          </w:tcPr>
          <w:p w14:paraId="707E3008" w14:textId="77777777" w:rsidR="00D12D35" w:rsidRPr="00FE3A8D" w:rsidRDefault="00D12D35">
            <w:pPr>
              <w:rPr>
                <w:b/>
                <w:bCs/>
              </w:rPr>
            </w:pPr>
            <w:r w:rsidRPr="00FE3A8D">
              <w:rPr>
                <w:b/>
                <w:bCs/>
              </w:rPr>
              <w:t>#</w:t>
            </w:r>
          </w:p>
        </w:tc>
        <w:tc>
          <w:tcPr>
            <w:tcW w:w="3510" w:type="dxa"/>
          </w:tcPr>
          <w:p w14:paraId="340591CD" w14:textId="77777777" w:rsidR="00D12D35" w:rsidRPr="00FE3A8D" w:rsidRDefault="00D12D35">
            <w:pPr>
              <w:rPr>
                <w:b/>
                <w:bCs/>
              </w:rPr>
            </w:pPr>
            <w:r w:rsidRPr="00FE3A8D">
              <w:rPr>
                <w:b/>
                <w:bCs/>
              </w:rPr>
              <w:t>System Change Request</w:t>
            </w:r>
          </w:p>
        </w:tc>
        <w:tc>
          <w:tcPr>
            <w:tcW w:w="8460" w:type="dxa"/>
          </w:tcPr>
          <w:p w14:paraId="54B738B8" w14:textId="77777777" w:rsidR="00D12D35" w:rsidRPr="00FE3A8D" w:rsidRDefault="00D12D35">
            <w:pPr>
              <w:rPr>
                <w:b/>
                <w:bCs/>
              </w:rPr>
            </w:pPr>
            <w:r w:rsidRPr="00FE3A8D">
              <w:rPr>
                <w:b/>
                <w:bCs/>
              </w:rPr>
              <w:t>Status</w:t>
            </w:r>
          </w:p>
        </w:tc>
        <w:tc>
          <w:tcPr>
            <w:tcW w:w="1530" w:type="dxa"/>
          </w:tcPr>
          <w:p w14:paraId="1407BD1E" w14:textId="77777777" w:rsidR="00D12D35" w:rsidRPr="00FE3A8D" w:rsidRDefault="00D12D35">
            <w:pPr>
              <w:rPr>
                <w:b/>
                <w:bCs/>
              </w:rPr>
            </w:pPr>
            <w:r w:rsidRPr="00FE3A8D">
              <w:rPr>
                <w:b/>
                <w:bCs/>
              </w:rPr>
              <w:t>Last Updated</w:t>
            </w:r>
          </w:p>
        </w:tc>
      </w:tr>
      <w:tr w:rsidR="00D12D35" w:rsidRPr="00FE3A8D" w14:paraId="726507A0" w14:textId="77777777" w:rsidTr="00D541F7">
        <w:tc>
          <w:tcPr>
            <w:tcW w:w="355" w:type="dxa"/>
          </w:tcPr>
          <w:p w14:paraId="73EC6651" w14:textId="77777777" w:rsidR="00D12D35" w:rsidRPr="00FE3A8D" w:rsidRDefault="00D12D35">
            <w:r w:rsidRPr="00FE3A8D">
              <w:t>1</w:t>
            </w:r>
          </w:p>
        </w:tc>
        <w:tc>
          <w:tcPr>
            <w:tcW w:w="3510" w:type="dxa"/>
          </w:tcPr>
          <w:p w14:paraId="4F1E268A" w14:textId="77777777" w:rsidR="00D12D35" w:rsidRPr="00575153" w:rsidRDefault="00D12D35">
            <w:r w:rsidRPr="00575153">
              <w:t>Don’t make payment voucher number and date fields required</w:t>
            </w:r>
          </w:p>
        </w:tc>
        <w:tc>
          <w:tcPr>
            <w:tcW w:w="8460" w:type="dxa"/>
          </w:tcPr>
          <w:p w14:paraId="52B95260" w14:textId="479001FC" w:rsidR="00D12D35" w:rsidRPr="00575153" w:rsidRDefault="00D12D35">
            <w:r w:rsidRPr="00575153">
              <w:t xml:space="preserve">Approved. </w:t>
            </w:r>
            <w:r w:rsidR="00C16EC2" w:rsidRPr="00575153">
              <w:t>Until the change is made, a</w:t>
            </w:r>
            <w:r w:rsidRPr="00575153">
              <w:t>gencies should enter any date and number, then update with correct information when it’s available</w:t>
            </w:r>
            <w:r w:rsidR="00C16EC2" w:rsidRPr="00575153">
              <w:t xml:space="preserve"> in accordance with policy timeframe.</w:t>
            </w:r>
            <w:r w:rsidRPr="00575153">
              <w:t xml:space="preserve"> </w:t>
            </w:r>
            <w:r w:rsidRPr="00F20394">
              <w:rPr>
                <w:b/>
                <w:bCs/>
              </w:rPr>
              <w:t>Change</w:t>
            </w:r>
            <w:r w:rsidR="00F20394" w:rsidRPr="00F20394">
              <w:rPr>
                <w:b/>
                <w:bCs/>
              </w:rPr>
              <w:t xml:space="preserve">d: </w:t>
            </w:r>
            <w:r w:rsidRPr="00F20394">
              <w:rPr>
                <w:b/>
                <w:bCs/>
              </w:rPr>
              <w:t>1/1</w:t>
            </w:r>
            <w:r w:rsidR="00CE650B" w:rsidRPr="00F20394">
              <w:rPr>
                <w:b/>
                <w:bCs/>
              </w:rPr>
              <w:t>3</w:t>
            </w:r>
            <w:r w:rsidRPr="00F20394">
              <w:rPr>
                <w:b/>
                <w:bCs/>
              </w:rPr>
              <w:t>/21</w:t>
            </w:r>
          </w:p>
        </w:tc>
        <w:tc>
          <w:tcPr>
            <w:tcW w:w="1530" w:type="dxa"/>
          </w:tcPr>
          <w:p w14:paraId="2A9A0957" w14:textId="4AE2ED1F" w:rsidR="00D12D35" w:rsidRPr="00575153" w:rsidRDefault="00D12D35">
            <w:r w:rsidRPr="00575153">
              <w:t>1/</w:t>
            </w:r>
            <w:r w:rsidR="00CE650B" w:rsidRPr="00575153">
              <w:t>11</w:t>
            </w:r>
            <w:r w:rsidRPr="00575153">
              <w:t>/21</w:t>
            </w:r>
          </w:p>
        </w:tc>
      </w:tr>
      <w:tr w:rsidR="00D12D35" w:rsidRPr="00FE3A8D" w14:paraId="1F3BA586" w14:textId="77777777" w:rsidTr="00D541F7">
        <w:tc>
          <w:tcPr>
            <w:tcW w:w="355" w:type="dxa"/>
          </w:tcPr>
          <w:p w14:paraId="28E267BB" w14:textId="77777777" w:rsidR="00D12D35" w:rsidRPr="00FE3A8D" w:rsidRDefault="00D12D35">
            <w:r w:rsidRPr="00FE3A8D">
              <w:t>2</w:t>
            </w:r>
          </w:p>
        </w:tc>
        <w:tc>
          <w:tcPr>
            <w:tcW w:w="3510" w:type="dxa"/>
          </w:tcPr>
          <w:p w14:paraId="10B24C46" w14:textId="77777777" w:rsidR="00D12D35" w:rsidRPr="00575153" w:rsidRDefault="00C16EC2">
            <w:r w:rsidRPr="00575153">
              <w:t>Allow unearned income to be assigned to children</w:t>
            </w:r>
          </w:p>
        </w:tc>
        <w:tc>
          <w:tcPr>
            <w:tcW w:w="8460" w:type="dxa"/>
          </w:tcPr>
          <w:p w14:paraId="2324DD04" w14:textId="2230FD65" w:rsidR="00D12D35" w:rsidRPr="00575153" w:rsidRDefault="00C16EC2">
            <w:r w:rsidRPr="00575153">
              <w:t xml:space="preserve">Approved. Until the change is made, assign the income to an adult and comment why. </w:t>
            </w:r>
            <w:r w:rsidRPr="00F20394">
              <w:rPr>
                <w:b/>
                <w:bCs/>
              </w:rPr>
              <w:t>Change</w:t>
            </w:r>
            <w:r w:rsidR="00F20394" w:rsidRPr="00F20394">
              <w:rPr>
                <w:b/>
                <w:bCs/>
              </w:rPr>
              <w:t>d</w:t>
            </w:r>
            <w:r w:rsidRPr="00F20394">
              <w:rPr>
                <w:b/>
                <w:bCs/>
              </w:rPr>
              <w:t xml:space="preserve">: </w:t>
            </w:r>
            <w:r w:rsidR="00F56CF2" w:rsidRPr="00F20394">
              <w:rPr>
                <w:b/>
                <w:bCs/>
              </w:rPr>
              <w:t>1/1</w:t>
            </w:r>
            <w:r w:rsidR="00CE650B" w:rsidRPr="00F20394">
              <w:rPr>
                <w:b/>
                <w:bCs/>
              </w:rPr>
              <w:t>3</w:t>
            </w:r>
            <w:r w:rsidR="00F56CF2" w:rsidRPr="00F20394">
              <w:rPr>
                <w:b/>
                <w:bCs/>
              </w:rPr>
              <w:t>/21</w:t>
            </w:r>
          </w:p>
        </w:tc>
        <w:tc>
          <w:tcPr>
            <w:tcW w:w="1530" w:type="dxa"/>
          </w:tcPr>
          <w:p w14:paraId="583FB626" w14:textId="1D7FA90B" w:rsidR="00D12D35" w:rsidRPr="00575153" w:rsidRDefault="00C16EC2">
            <w:r w:rsidRPr="00575153">
              <w:t>1/</w:t>
            </w:r>
            <w:r w:rsidR="00CE650B" w:rsidRPr="00575153">
              <w:t>11</w:t>
            </w:r>
            <w:r w:rsidRPr="00575153">
              <w:t>/21</w:t>
            </w:r>
          </w:p>
        </w:tc>
      </w:tr>
      <w:tr w:rsidR="00D12D35" w:rsidRPr="00FE3A8D" w14:paraId="3D5AE5E8" w14:textId="77777777" w:rsidTr="00D541F7">
        <w:tc>
          <w:tcPr>
            <w:tcW w:w="355" w:type="dxa"/>
          </w:tcPr>
          <w:p w14:paraId="4E49D7BA" w14:textId="77777777" w:rsidR="00D12D35" w:rsidRPr="00FE3A8D" w:rsidRDefault="00D12D35">
            <w:bookmarkStart w:id="0" w:name="_Hlk62818126"/>
            <w:r w:rsidRPr="00FE3A8D">
              <w:t>3</w:t>
            </w:r>
          </w:p>
        </w:tc>
        <w:tc>
          <w:tcPr>
            <w:tcW w:w="3510" w:type="dxa"/>
          </w:tcPr>
          <w:p w14:paraId="01E5D071" w14:textId="77777777" w:rsidR="00D12D35" w:rsidRPr="00575153" w:rsidRDefault="00B97239">
            <w:r w:rsidRPr="00575153">
              <w:t>Allow start date of homelessness to be greater than 1 year in the past</w:t>
            </w:r>
          </w:p>
        </w:tc>
        <w:tc>
          <w:tcPr>
            <w:tcW w:w="8460" w:type="dxa"/>
          </w:tcPr>
          <w:p w14:paraId="687A38AB" w14:textId="351CFF5A" w:rsidR="00D12D35" w:rsidRPr="00575153" w:rsidRDefault="00B97239">
            <w:r w:rsidRPr="00575153">
              <w:t xml:space="preserve">Approved. Until the change is made, use any date and comment why. </w:t>
            </w:r>
            <w:r w:rsidR="0050225E" w:rsidRPr="0050225E">
              <w:rPr>
                <w:b/>
                <w:bCs/>
                <w:highlight w:val="yellow"/>
              </w:rPr>
              <w:t>Changed effective 2/17/21</w:t>
            </w:r>
          </w:p>
        </w:tc>
        <w:tc>
          <w:tcPr>
            <w:tcW w:w="1530" w:type="dxa"/>
          </w:tcPr>
          <w:p w14:paraId="0351C3D1" w14:textId="4CF09158" w:rsidR="0050225E" w:rsidRPr="00575153" w:rsidRDefault="0050225E" w:rsidP="0050225E">
            <w:r w:rsidRPr="0050225E">
              <w:rPr>
                <w:highlight w:val="yellow"/>
              </w:rPr>
              <w:t>2</w:t>
            </w:r>
            <w:r w:rsidR="00DF3234">
              <w:rPr>
                <w:highlight w:val="yellow"/>
              </w:rPr>
              <w:t>/</w:t>
            </w:r>
            <w:r w:rsidRPr="0050225E">
              <w:rPr>
                <w:highlight w:val="yellow"/>
              </w:rPr>
              <w:t>1</w:t>
            </w:r>
            <w:r w:rsidR="00DF3234">
              <w:rPr>
                <w:highlight w:val="yellow"/>
              </w:rPr>
              <w:t>5</w:t>
            </w:r>
            <w:r w:rsidRPr="0050225E">
              <w:rPr>
                <w:highlight w:val="yellow"/>
              </w:rPr>
              <w:t>/21</w:t>
            </w:r>
          </w:p>
          <w:p w14:paraId="33DCEC1D" w14:textId="1E60D17F" w:rsidR="00D12D35" w:rsidRPr="00575153" w:rsidRDefault="00D12D35"/>
        </w:tc>
      </w:tr>
      <w:bookmarkEnd w:id="0"/>
      <w:tr w:rsidR="00906E58" w:rsidRPr="00FE3A8D" w14:paraId="3289E698" w14:textId="77777777" w:rsidTr="00D541F7">
        <w:tc>
          <w:tcPr>
            <w:tcW w:w="355" w:type="dxa"/>
          </w:tcPr>
          <w:p w14:paraId="0F197E2C" w14:textId="457626C3" w:rsidR="00906E58" w:rsidRPr="00FE3A8D" w:rsidRDefault="00704B1D">
            <w:r w:rsidRPr="00FE3A8D">
              <w:t>4</w:t>
            </w:r>
          </w:p>
        </w:tc>
        <w:tc>
          <w:tcPr>
            <w:tcW w:w="3510" w:type="dxa"/>
          </w:tcPr>
          <w:p w14:paraId="09B98A69" w14:textId="77777777" w:rsidR="00906E58" w:rsidRPr="00575153" w:rsidRDefault="00BB4CEC" w:rsidP="00D830C7">
            <w:pPr>
              <w:pStyle w:val="ListParagraph"/>
              <w:numPr>
                <w:ilvl w:val="0"/>
                <w:numId w:val="1"/>
              </w:numPr>
            </w:pPr>
            <w:r w:rsidRPr="00575153">
              <w:t>Can “questionable and inconsistent” be added as a denial reason?</w:t>
            </w:r>
          </w:p>
          <w:p w14:paraId="600A06F8" w14:textId="25F1D86B" w:rsidR="00D830C7" w:rsidRPr="00575153" w:rsidRDefault="00D830C7" w:rsidP="00D830C7">
            <w:pPr>
              <w:pStyle w:val="ListParagraph"/>
              <w:numPr>
                <w:ilvl w:val="0"/>
                <w:numId w:val="1"/>
              </w:numPr>
            </w:pPr>
            <w:r w:rsidRPr="00575153">
              <w:t>Can “crucial verification missing” be added as a denial reason?</w:t>
            </w:r>
          </w:p>
        </w:tc>
        <w:tc>
          <w:tcPr>
            <w:tcW w:w="8460" w:type="dxa"/>
          </w:tcPr>
          <w:p w14:paraId="3B568344" w14:textId="639AE778" w:rsidR="00906E58" w:rsidRPr="00575153" w:rsidRDefault="00BB4CEC" w:rsidP="00D830C7">
            <w:pPr>
              <w:pStyle w:val="ListParagraph"/>
              <w:numPr>
                <w:ilvl w:val="0"/>
                <w:numId w:val="2"/>
              </w:numPr>
            </w:pPr>
            <w:r w:rsidRPr="00575153">
              <w:t xml:space="preserve">Approved: Change target date: </w:t>
            </w:r>
            <w:r w:rsidR="0050225E" w:rsidRPr="0050225E">
              <w:rPr>
                <w:b/>
                <w:bCs/>
                <w:highlight w:val="yellow"/>
              </w:rPr>
              <w:t>Changed effective 2/17/21</w:t>
            </w:r>
          </w:p>
          <w:p w14:paraId="17E0A1D7" w14:textId="77777777" w:rsidR="00D830C7" w:rsidRPr="00575153" w:rsidRDefault="00D830C7" w:rsidP="00D830C7"/>
          <w:p w14:paraId="5D07717A" w14:textId="77777777" w:rsidR="00D830C7" w:rsidRPr="00575153" w:rsidRDefault="00D830C7" w:rsidP="00D830C7"/>
          <w:p w14:paraId="7BBA3FA4" w14:textId="5ECC83FC" w:rsidR="00D830C7" w:rsidRPr="00575153" w:rsidRDefault="00600E9E" w:rsidP="00D830C7">
            <w:pPr>
              <w:pStyle w:val="ListParagraph"/>
              <w:numPr>
                <w:ilvl w:val="0"/>
                <w:numId w:val="2"/>
              </w:numPr>
            </w:pPr>
            <w:r w:rsidRPr="00575153">
              <w:t>No system change needed. Use “required verification was not received”</w:t>
            </w:r>
          </w:p>
        </w:tc>
        <w:tc>
          <w:tcPr>
            <w:tcW w:w="1530" w:type="dxa"/>
          </w:tcPr>
          <w:p w14:paraId="253829D0" w14:textId="45702E37" w:rsidR="00906E58" w:rsidRPr="00575153" w:rsidRDefault="0050225E">
            <w:r w:rsidRPr="0050225E">
              <w:rPr>
                <w:highlight w:val="yellow"/>
              </w:rPr>
              <w:t>2</w:t>
            </w:r>
            <w:r w:rsidR="00DF3234">
              <w:rPr>
                <w:highlight w:val="yellow"/>
              </w:rPr>
              <w:t>/</w:t>
            </w:r>
            <w:r w:rsidRPr="0050225E">
              <w:rPr>
                <w:highlight w:val="yellow"/>
              </w:rPr>
              <w:t>1</w:t>
            </w:r>
            <w:r w:rsidR="00DF3234">
              <w:rPr>
                <w:highlight w:val="yellow"/>
              </w:rPr>
              <w:t>5</w:t>
            </w:r>
            <w:r w:rsidR="00BB4CEC" w:rsidRPr="0050225E">
              <w:rPr>
                <w:highlight w:val="yellow"/>
              </w:rPr>
              <w:t>/21</w:t>
            </w:r>
          </w:p>
          <w:p w14:paraId="43A3833C" w14:textId="77777777" w:rsidR="00D830C7" w:rsidRPr="00575153" w:rsidRDefault="00D830C7"/>
          <w:p w14:paraId="41A9A2C8" w14:textId="77777777" w:rsidR="00D830C7" w:rsidRPr="00575153" w:rsidRDefault="00D830C7"/>
          <w:p w14:paraId="332877D5" w14:textId="63465D24" w:rsidR="00D830C7" w:rsidRPr="00575153" w:rsidRDefault="00D830C7">
            <w:r w:rsidRPr="00575153">
              <w:t>1/11/21</w:t>
            </w:r>
          </w:p>
        </w:tc>
      </w:tr>
      <w:tr w:rsidR="00F11F9E" w:rsidRPr="00FE3A8D" w14:paraId="130050BD" w14:textId="77777777" w:rsidTr="00D541F7">
        <w:tc>
          <w:tcPr>
            <w:tcW w:w="355" w:type="dxa"/>
          </w:tcPr>
          <w:p w14:paraId="6F60223E" w14:textId="60B9DBCF" w:rsidR="00F11F9E" w:rsidRPr="00FE3A8D" w:rsidRDefault="00704B1D">
            <w:r w:rsidRPr="00FE3A8D">
              <w:t>5</w:t>
            </w:r>
          </w:p>
        </w:tc>
        <w:tc>
          <w:tcPr>
            <w:tcW w:w="3510" w:type="dxa"/>
          </w:tcPr>
          <w:p w14:paraId="560E9A3C" w14:textId="77777777" w:rsidR="00F11F9E" w:rsidRPr="00FE3A8D" w:rsidRDefault="00E76028">
            <w:r w:rsidRPr="00FE3A8D">
              <w:t>Allow comments to be edited beyond the day they’re entered.</w:t>
            </w:r>
          </w:p>
        </w:tc>
        <w:tc>
          <w:tcPr>
            <w:tcW w:w="8460" w:type="dxa"/>
          </w:tcPr>
          <w:p w14:paraId="093FD76D" w14:textId="77777777" w:rsidR="00F11F9E" w:rsidRPr="00FE3A8D" w:rsidRDefault="00E76028">
            <w:r w:rsidRPr="00FE3A8D">
              <w:t>Not approved for program integrity reasons.</w:t>
            </w:r>
          </w:p>
        </w:tc>
        <w:tc>
          <w:tcPr>
            <w:tcW w:w="1530" w:type="dxa"/>
          </w:tcPr>
          <w:p w14:paraId="71382C17" w14:textId="77777777" w:rsidR="00F11F9E" w:rsidRPr="00FE3A8D" w:rsidRDefault="00E76028">
            <w:r w:rsidRPr="00FE3A8D">
              <w:t>1/5/21</w:t>
            </w:r>
          </w:p>
        </w:tc>
      </w:tr>
      <w:tr w:rsidR="00A23CC8" w:rsidRPr="00FE3A8D" w14:paraId="31CA2600" w14:textId="77777777" w:rsidTr="00D541F7">
        <w:tc>
          <w:tcPr>
            <w:tcW w:w="355" w:type="dxa"/>
          </w:tcPr>
          <w:p w14:paraId="0E26292C" w14:textId="55326D4A" w:rsidR="00A23CC8" w:rsidRPr="00FE3A8D" w:rsidRDefault="00704B1D">
            <w:r w:rsidRPr="00FE3A8D">
              <w:lastRenderedPageBreak/>
              <w:t>6</w:t>
            </w:r>
          </w:p>
        </w:tc>
        <w:tc>
          <w:tcPr>
            <w:tcW w:w="3510" w:type="dxa"/>
          </w:tcPr>
          <w:p w14:paraId="69062D89" w14:textId="77777777" w:rsidR="00A23CC8" w:rsidRPr="00FE3A8D" w:rsidRDefault="00A23CC8">
            <w:r w:rsidRPr="00FE3A8D">
              <w:t>Don’t make Financial Need Amount required until application is in Approved status.</w:t>
            </w:r>
          </w:p>
        </w:tc>
        <w:tc>
          <w:tcPr>
            <w:tcW w:w="8460" w:type="dxa"/>
          </w:tcPr>
          <w:p w14:paraId="2D0DD596" w14:textId="74267BEE" w:rsidR="00A23CC8" w:rsidRPr="00FE3A8D" w:rsidRDefault="00A23CC8">
            <w:r w:rsidRPr="00FE3A8D">
              <w:t xml:space="preserve">Approved: </w:t>
            </w:r>
            <w:r w:rsidR="00E8645B" w:rsidRPr="00FE3A8D">
              <w:t>Until the change is made, agencies should enter any amount until actual amount is known.</w:t>
            </w:r>
            <w:r w:rsidR="00DF3234">
              <w:t xml:space="preserve"> </w:t>
            </w:r>
            <w:r w:rsidR="00DF3234" w:rsidRPr="0050225E">
              <w:rPr>
                <w:b/>
                <w:bCs/>
                <w:highlight w:val="yellow"/>
              </w:rPr>
              <w:t>Changed effective 2/17/21</w:t>
            </w:r>
          </w:p>
        </w:tc>
        <w:tc>
          <w:tcPr>
            <w:tcW w:w="1530" w:type="dxa"/>
          </w:tcPr>
          <w:p w14:paraId="6CE290B1" w14:textId="43A870D8" w:rsidR="00DF3234" w:rsidRPr="00575153" w:rsidRDefault="00DF3234" w:rsidP="00DF3234">
            <w:r w:rsidRPr="0050225E">
              <w:rPr>
                <w:highlight w:val="yellow"/>
              </w:rPr>
              <w:t>2</w:t>
            </w:r>
            <w:r>
              <w:rPr>
                <w:highlight w:val="yellow"/>
              </w:rPr>
              <w:t>/</w:t>
            </w:r>
            <w:r w:rsidRPr="0050225E">
              <w:rPr>
                <w:highlight w:val="yellow"/>
              </w:rPr>
              <w:t>1</w:t>
            </w:r>
            <w:r>
              <w:rPr>
                <w:highlight w:val="yellow"/>
              </w:rPr>
              <w:t>5</w:t>
            </w:r>
            <w:r w:rsidRPr="0050225E">
              <w:rPr>
                <w:highlight w:val="yellow"/>
              </w:rPr>
              <w:t>/21</w:t>
            </w:r>
          </w:p>
          <w:p w14:paraId="06C795CA" w14:textId="29ACFFEB" w:rsidR="00A23CC8" w:rsidRPr="00FE3A8D" w:rsidRDefault="00A23CC8"/>
        </w:tc>
      </w:tr>
      <w:tr w:rsidR="00AF49DB" w:rsidRPr="00FE3A8D" w14:paraId="20B1E386" w14:textId="77777777" w:rsidTr="00D541F7">
        <w:tc>
          <w:tcPr>
            <w:tcW w:w="355" w:type="dxa"/>
          </w:tcPr>
          <w:p w14:paraId="332089A5" w14:textId="0A97889A" w:rsidR="00AF49DB" w:rsidRPr="00FE3A8D" w:rsidRDefault="00704B1D">
            <w:r w:rsidRPr="00FE3A8D">
              <w:t>7</w:t>
            </w:r>
          </w:p>
        </w:tc>
        <w:tc>
          <w:tcPr>
            <w:tcW w:w="3510" w:type="dxa"/>
          </w:tcPr>
          <w:p w14:paraId="024D48E6" w14:textId="77777777" w:rsidR="00AF49DB" w:rsidRPr="00FE3A8D" w:rsidRDefault="00AF49DB">
            <w:r w:rsidRPr="00FE3A8D">
              <w:t xml:space="preserve">Add a field for a second </w:t>
            </w:r>
            <w:r w:rsidR="007A3221" w:rsidRPr="00FE3A8D">
              <w:t>applicant phone number</w:t>
            </w:r>
          </w:p>
        </w:tc>
        <w:tc>
          <w:tcPr>
            <w:tcW w:w="8460" w:type="dxa"/>
          </w:tcPr>
          <w:p w14:paraId="69F25DBE" w14:textId="057DB252" w:rsidR="00AF49DB" w:rsidRPr="00FE3A8D" w:rsidRDefault="007A3221">
            <w:r w:rsidRPr="00FE3A8D">
              <w:t xml:space="preserve">Approved: </w:t>
            </w:r>
            <w:r w:rsidR="0069691E" w:rsidRPr="0050225E">
              <w:rPr>
                <w:b/>
                <w:bCs/>
                <w:highlight w:val="yellow"/>
              </w:rPr>
              <w:t>Changed effective 2/17/21</w:t>
            </w:r>
          </w:p>
        </w:tc>
        <w:tc>
          <w:tcPr>
            <w:tcW w:w="1530" w:type="dxa"/>
          </w:tcPr>
          <w:p w14:paraId="7AA785F9" w14:textId="77777777" w:rsidR="0069691E" w:rsidRPr="00575153" w:rsidRDefault="0069691E" w:rsidP="0069691E">
            <w:r w:rsidRPr="0050225E">
              <w:rPr>
                <w:highlight w:val="yellow"/>
              </w:rPr>
              <w:t>2</w:t>
            </w:r>
            <w:r>
              <w:rPr>
                <w:highlight w:val="yellow"/>
              </w:rPr>
              <w:t>/</w:t>
            </w:r>
            <w:r w:rsidRPr="0050225E">
              <w:rPr>
                <w:highlight w:val="yellow"/>
              </w:rPr>
              <w:t>1</w:t>
            </w:r>
            <w:r>
              <w:rPr>
                <w:highlight w:val="yellow"/>
              </w:rPr>
              <w:t>5</w:t>
            </w:r>
            <w:r w:rsidRPr="0050225E">
              <w:rPr>
                <w:highlight w:val="yellow"/>
              </w:rPr>
              <w:t>/21</w:t>
            </w:r>
          </w:p>
          <w:p w14:paraId="12033917" w14:textId="3A7A2343" w:rsidR="00AF49DB" w:rsidRPr="00FE3A8D" w:rsidRDefault="00AF49DB"/>
        </w:tc>
      </w:tr>
      <w:tr w:rsidR="00F11F9E" w:rsidRPr="00FE3A8D" w14:paraId="5ED44957" w14:textId="77777777" w:rsidTr="00D541F7">
        <w:tc>
          <w:tcPr>
            <w:tcW w:w="355" w:type="dxa"/>
          </w:tcPr>
          <w:p w14:paraId="6372600C" w14:textId="726031D1" w:rsidR="00F11F9E" w:rsidRPr="00FE3A8D" w:rsidRDefault="00704B1D">
            <w:r w:rsidRPr="00FE3A8D">
              <w:t>8</w:t>
            </w:r>
          </w:p>
        </w:tc>
        <w:tc>
          <w:tcPr>
            <w:tcW w:w="3510" w:type="dxa"/>
          </w:tcPr>
          <w:p w14:paraId="35DB9A6E" w14:textId="77777777" w:rsidR="00F11F9E" w:rsidRPr="00FE3A8D" w:rsidRDefault="00F11F9E">
            <w:r w:rsidRPr="00FE3A8D">
              <w:t>Add CWW case number field to the EA Application History page</w:t>
            </w:r>
          </w:p>
        </w:tc>
        <w:tc>
          <w:tcPr>
            <w:tcW w:w="8460" w:type="dxa"/>
          </w:tcPr>
          <w:p w14:paraId="44C04148" w14:textId="2200C046" w:rsidR="00F11F9E" w:rsidRPr="00FE3A8D" w:rsidRDefault="00F11F9E">
            <w:r w:rsidRPr="00FE3A8D">
              <w:t xml:space="preserve">Approved: </w:t>
            </w:r>
            <w:r w:rsidR="0069691E" w:rsidRPr="0050225E">
              <w:rPr>
                <w:b/>
                <w:bCs/>
                <w:highlight w:val="yellow"/>
              </w:rPr>
              <w:t>Changed effective 2/17/21</w:t>
            </w:r>
          </w:p>
        </w:tc>
        <w:tc>
          <w:tcPr>
            <w:tcW w:w="1530" w:type="dxa"/>
          </w:tcPr>
          <w:p w14:paraId="26794B03" w14:textId="77777777" w:rsidR="0069691E" w:rsidRPr="00575153" w:rsidRDefault="0069691E" w:rsidP="0069691E">
            <w:r w:rsidRPr="0050225E">
              <w:rPr>
                <w:highlight w:val="yellow"/>
              </w:rPr>
              <w:t>2</w:t>
            </w:r>
            <w:r>
              <w:rPr>
                <w:highlight w:val="yellow"/>
              </w:rPr>
              <w:t>/</w:t>
            </w:r>
            <w:r w:rsidRPr="0050225E">
              <w:rPr>
                <w:highlight w:val="yellow"/>
              </w:rPr>
              <w:t>1</w:t>
            </w:r>
            <w:r>
              <w:rPr>
                <w:highlight w:val="yellow"/>
              </w:rPr>
              <w:t>5</w:t>
            </w:r>
            <w:r w:rsidRPr="0050225E">
              <w:rPr>
                <w:highlight w:val="yellow"/>
              </w:rPr>
              <w:t>/21</w:t>
            </w:r>
          </w:p>
          <w:p w14:paraId="1E954066" w14:textId="07CB89FC" w:rsidR="00F11F9E" w:rsidRPr="00FE3A8D" w:rsidRDefault="00F11F9E"/>
        </w:tc>
      </w:tr>
      <w:tr w:rsidR="00E92F21" w:rsidRPr="00FE3A8D" w14:paraId="1E9D2BA6" w14:textId="77777777" w:rsidTr="00D541F7">
        <w:tc>
          <w:tcPr>
            <w:tcW w:w="355" w:type="dxa"/>
          </w:tcPr>
          <w:p w14:paraId="0797D0A2" w14:textId="1C91D7B1" w:rsidR="00E92F21" w:rsidRPr="00FE3A8D" w:rsidRDefault="00E92F21" w:rsidP="00E92F21">
            <w:r>
              <w:t>9</w:t>
            </w:r>
          </w:p>
        </w:tc>
        <w:tc>
          <w:tcPr>
            <w:tcW w:w="3510" w:type="dxa"/>
          </w:tcPr>
          <w:p w14:paraId="662B9ABC" w14:textId="5B4969F8" w:rsidR="00E92F21" w:rsidRPr="00FE3A8D" w:rsidRDefault="00E92F21" w:rsidP="00E92F21">
            <w:r w:rsidRPr="00AE7038">
              <w:t>When the Application Date is updated, the Status deadline doesn’t update</w:t>
            </w:r>
          </w:p>
        </w:tc>
        <w:tc>
          <w:tcPr>
            <w:tcW w:w="8460" w:type="dxa"/>
          </w:tcPr>
          <w:p w14:paraId="31DC0DDE" w14:textId="349FC6C5" w:rsidR="00E92F21" w:rsidRPr="00FE3A8D" w:rsidRDefault="00E92F21" w:rsidP="00E92F21">
            <w:r w:rsidRPr="00AE7038">
              <w:t xml:space="preserve">Approved: Change target date: </w:t>
            </w:r>
            <w:r w:rsidR="00DF3234" w:rsidRPr="0050225E">
              <w:rPr>
                <w:b/>
                <w:bCs/>
                <w:highlight w:val="yellow"/>
              </w:rPr>
              <w:t>Changed effective 2/17/21</w:t>
            </w:r>
          </w:p>
        </w:tc>
        <w:tc>
          <w:tcPr>
            <w:tcW w:w="1530" w:type="dxa"/>
          </w:tcPr>
          <w:p w14:paraId="38C5A8C5" w14:textId="77777777" w:rsidR="00DF3234" w:rsidRPr="00575153" w:rsidRDefault="00DF3234" w:rsidP="00DF3234">
            <w:r w:rsidRPr="0050225E">
              <w:rPr>
                <w:highlight w:val="yellow"/>
              </w:rPr>
              <w:t>2</w:t>
            </w:r>
            <w:r>
              <w:rPr>
                <w:highlight w:val="yellow"/>
              </w:rPr>
              <w:t>/</w:t>
            </w:r>
            <w:r w:rsidRPr="0050225E">
              <w:rPr>
                <w:highlight w:val="yellow"/>
              </w:rPr>
              <w:t>1</w:t>
            </w:r>
            <w:r>
              <w:rPr>
                <w:highlight w:val="yellow"/>
              </w:rPr>
              <w:t>5</w:t>
            </w:r>
            <w:r w:rsidRPr="0050225E">
              <w:rPr>
                <w:highlight w:val="yellow"/>
              </w:rPr>
              <w:t>/21</w:t>
            </w:r>
          </w:p>
          <w:p w14:paraId="620CC2E1" w14:textId="3CBCF9BD" w:rsidR="00E92F21" w:rsidRPr="00FE3A8D" w:rsidRDefault="00E92F21" w:rsidP="00E92F21"/>
        </w:tc>
      </w:tr>
      <w:tr w:rsidR="00E92F21" w:rsidRPr="00FE3A8D" w14:paraId="7C211790" w14:textId="77777777" w:rsidTr="00D541F7">
        <w:tc>
          <w:tcPr>
            <w:tcW w:w="355" w:type="dxa"/>
          </w:tcPr>
          <w:p w14:paraId="06D038FB" w14:textId="0ED4D594" w:rsidR="00E92F21" w:rsidRPr="00F80EC2" w:rsidRDefault="00575153">
            <w:r w:rsidRPr="00F80EC2">
              <w:t>10</w:t>
            </w:r>
          </w:p>
        </w:tc>
        <w:tc>
          <w:tcPr>
            <w:tcW w:w="3510" w:type="dxa"/>
          </w:tcPr>
          <w:p w14:paraId="7D26ABF4" w14:textId="0CA5AEA1" w:rsidR="00E92F21" w:rsidRPr="00F80EC2" w:rsidRDefault="00575153">
            <w:r w:rsidRPr="00F80EC2">
              <w:t>Can negative values be entered for assets?</w:t>
            </w:r>
          </w:p>
        </w:tc>
        <w:tc>
          <w:tcPr>
            <w:tcW w:w="8460" w:type="dxa"/>
          </w:tcPr>
          <w:p w14:paraId="4F9FA760" w14:textId="3E379F56" w:rsidR="00E92F21" w:rsidRPr="00F80EC2" w:rsidRDefault="006E33D8">
            <w:r w:rsidRPr="00F80EC2">
              <w:t>No. See 7b in the Policy Question chart below.</w:t>
            </w:r>
            <w:r w:rsidR="005D2AF4" w:rsidRPr="00F80EC2">
              <w:t xml:space="preserve"> </w:t>
            </w:r>
          </w:p>
        </w:tc>
        <w:tc>
          <w:tcPr>
            <w:tcW w:w="1530" w:type="dxa"/>
          </w:tcPr>
          <w:p w14:paraId="3AE4F1E8" w14:textId="78FF7580" w:rsidR="00E92F21" w:rsidRPr="00F80EC2" w:rsidRDefault="00575153">
            <w:r w:rsidRPr="00F80EC2">
              <w:t>1/1</w:t>
            </w:r>
            <w:r w:rsidR="006E33D8" w:rsidRPr="00F80EC2">
              <w:t>3</w:t>
            </w:r>
            <w:r w:rsidRPr="00F80EC2">
              <w:t>/21</w:t>
            </w:r>
          </w:p>
        </w:tc>
      </w:tr>
      <w:tr w:rsidR="006A77DA" w:rsidRPr="00FE3A8D" w14:paraId="0484DDA1" w14:textId="77777777" w:rsidTr="00D541F7">
        <w:tc>
          <w:tcPr>
            <w:tcW w:w="355" w:type="dxa"/>
          </w:tcPr>
          <w:p w14:paraId="4CE836E7" w14:textId="73EF11F4" w:rsidR="006A77DA" w:rsidRPr="00F80EC2" w:rsidRDefault="006A77DA">
            <w:r w:rsidRPr="00F80EC2">
              <w:t>11</w:t>
            </w:r>
          </w:p>
        </w:tc>
        <w:tc>
          <w:tcPr>
            <w:tcW w:w="3510" w:type="dxa"/>
          </w:tcPr>
          <w:p w14:paraId="038F0BDF" w14:textId="04EDA455" w:rsidR="006A77DA" w:rsidRPr="00F80EC2" w:rsidRDefault="006A77DA">
            <w:r w:rsidRPr="00F80EC2">
              <w:t>Can the drop-down lists for income and asset verification be edited?</w:t>
            </w:r>
          </w:p>
        </w:tc>
        <w:tc>
          <w:tcPr>
            <w:tcW w:w="8460" w:type="dxa"/>
          </w:tcPr>
          <w:p w14:paraId="3001AA0A" w14:textId="77777777" w:rsidR="006A77DA" w:rsidRDefault="006A77DA">
            <w:pPr>
              <w:rPr>
                <w:b/>
                <w:bCs/>
              </w:rPr>
            </w:pPr>
            <w:r w:rsidRPr="00F80EC2">
              <w:t xml:space="preserve">Yes. </w:t>
            </w:r>
            <w:r w:rsidR="00DF3234" w:rsidRPr="00DF3234">
              <w:rPr>
                <w:highlight w:val="yellow"/>
              </w:rPr>
              <w:t xml:space="preserve">Policy reviewed and </w:t>
            </w:r>
            <w:r w:rsidR="00DF3234">
              <w:rPr>
                <w:highlight w:val="yellow"/>
              </w:rPr>
              <w:t>approved adding</w:t>
            </w:r>
            <w:r w:rsidR="00DF3234" w:rsidRPr="00DF3234">
              <w:rPr>
                <w:highlight w:val="yellow"/>
              </w:rPr>
              <w:t xml:space="preserve"> </w:t>
            </w:r>
            <w:r w:rsidR="00DF3234" w:rsidRPr="00DF3234">
              <w:rPr>
                <w:highlight w:val="yellow"/>
              </w:rPr>
              <w:t xml:space="preserve">“Data Exchange (DX)” to </w:t>
            </w:r>
            <w:r w:rsidR="00DF3234">
              <w:rPr>
                <w:highlight w:val="yellow"/>
              </w:rPr>
              <w:t xml:space="preserve">the </w:t>
            </w:r>
            <w:r w:rsidR="00DF3234" w:rsidRPr="00DF3234">
              <w:rPr>
                <w:highlight w:val="yellow"/>
              </w:rPr>
              <w:t xml:space="preserve">Income Verification dropdown </w:t>
            </w:r>
            <w:r w:rsidR="00DF3234" w:rsidRPr="00DF3234">
              <w:rPr>
                <w:highlight w:val="yellow"/>
              </w:rPr>
              <w:t xml:space="preserve">and </w:t>
            </w:r>
            <w:r w:rsidR="00DF3234" w:rsidRPr="00DF3234">
              <w:rPr>
                <w:highlight w:val="yellow"/>
              </w:rPr>
              <w:t xml:space="preserve">“Debit Card Receipt” to </w:t>
            </w:r>
            <w:r w:rsidR="00DF3234">
              <w:rPr>
                <w:highlight w:val="yellow"/>
              </w:rPr>
              <w:t xml:space="preserve">the </w:t>
            </w:r>
            <w:r w:rsidR="00DF3234" w:rsidRPr="00DF3234">
              <w:rPr>
                <w:highlight w:val="yellow"/>
              </w:rPr>
              <w:t xml:space="preserve">Asset Verification </w:t>
            </w:r>
            <w:r w:rsidR="00DF3234" w:rsidRPr="0069691E">
              <w:rPr>
                <w:highlight w:val="yellow"/>
              </w:rPr>
              <w:t xml:space="preserve">dropdown </w:t>
            </w:r>
            <w:r w:rsidR="00DF3234" w:rsidRPr="0069691E">
              <w:rPr>
                <w:b/>
                <w:bCs/>
                <w:highlight w:val="yellow"/>
              </w:rPr>
              <w:t xml:space="preserve">effective </w:t>
            </w:r>
            <w:r w:rsidR="00DF3234" w:rsidRPr="0050225E">
              <w:rPr>
                <w:b/>
                <w:bCs/>
                <w:highlight w:val="yellow"/>
              </w:rPr>
              <w:t>2/17/21</w:t>
            </w:r>
          </w:p>
          <w:p w14:paraId="21C71639" w14:textId="05588562" w:rsidR="00DF3234" w:rsidRPr="00F80EC2" w:rsidRDefault="00DF3234"/>
        </w:tc>
        <w:tc>
          <w:tcPr>
            <w:tcW w:w="1530" w:type="dxa"/>
          </w:tcPr>
          <w:p w14:paraId="14A6FAF6" w14:textId="77777777" w:rsidR="006E757A" w:rsidRPr="00575153" w:rsidRDefault="006E757A" w:rsidP="006E757A">
            <w:r w:rsidRPr="0050225E">
              <w:rPr>
                <w:highlight w:val="yellow"/>
              </w:rPr>
              <w:t>2</w:t>
            </w:r>
            <w:r>
              <w:rPr>
                <w:highlight w:val="yellow"/>
              </w:rPr>
              <w:t>/</w:t>
            </w:r>
            <w:r w:rsidRPr="0050225E">
              <w:rPr>
                <w:highlight w:val="yellow"/>
              </w:rPr>
              <w:t>1</w:t>
            </w:r>
            <w:r>
              <w:rPr>
                <w:highlight w:val="yellow"/>
              </w:rPr>
              <w:t>5</w:t>
            </w:r>
            <w:r w:rsidRPr="0050225E">
              <w:rPr>
                <w:highlight w:val="yellow"/>
              </w:rPr>
              <w:t>/21</w:t>
            </w:r>
          </w:p>
          <w:p w14:paraId="6DAC42A0" w14:textId="7430F153" w:rsidR="006A77DA" w:rsidRPr="00F80EC2" w:rsidRDefault="006A77DA"/>
        </w:tc>
      </w:tr>
      <w:tr w:rsidR="00F4610A" w:rsidRPr="00FE3A8D" w14:paraId="6EC2AE61" w14:textId="77777777" w:rsidTr="00D541F7">
        <w:tc>
          <w:tcPr>
            <w:tcW w:w="355" w:type="dxa"/>
          </w:tcPr>
          <w:p w14:paraId="4490C427" w14:textId="0938F841" w:rsidR="00F4610A" w:rsidRPr="00F80EC2" w:rsidRDefault="00F4610A">
            <w:r>
              <w:t>12</w:t>
            </w:r>
          </w:p>
        </w:tc>
        <w:tc>
          <w:tcPr>
            <w:tcW w:w="3510" w:type="dxa"/>
          </w:tcPr>
          <w:p w14:paraId="00C1E84C" w14:textId="1CF07349" w:rsidR="00F4610A" w:rsidRPr="00F80EC2" w:rsidRDefault="00F4610A">
            <w:r>
              <w:t>Allow agencies to view application details for prior EA application processed by a different agency. This will not apply to confidential applications.</w:t>
            </w:r>
          </w:p>
        </w:tc>
        <w:tc>
          <w:tcPr>
            <w:tcW w:w="8460" w:type="dxa"/>
          </w:tcPr>
          <w:p w14:paraId="29F9586B" w14:textId="764706F9" w:rsidR="00F4610A" w:rsidRPr="00F80EC2" w:rsidRDefault="00F4610A">
            <w:r>
              <w:t xml:space="preserve">Approved: </w:t>
            </w:r>
            <w:r w:rsidR="00DF3234" w:rsidRPr="0050225E">
              <w:rPr>
                <w:b/>
                <w:bCs/>
                <w:highlight w:val="yellow"/>
              </w:rPr>
              <w:t>Changed effective 2/17/21</w:t>
            </w:r>
          </w:p>
        </w:tc>
        <w:tc>
          <w:tcPr>
            <w:tcW w:w="1530" w:type="dxa"/>
          </w:tcPr>
          <w:p w14:paraId="6896FA7E" w14:textId="77777777" w:rsidR="00DF3234" w:rsidRPr="00575153" w:rsidRDefault="00DF3234" w:rsidP="00DF3234">
            <w:r w:rsidRPr="0050225E">
              <w:rPr>
                <w:highlight w:val="yellow"/>
              </w:rPr>
              <w:t>2</w:t>
            </w:r>
            <w:r>
              <w:rPr>
                <w:highlight w:val="yellow"/>
              </w:rPr>
              <w:t>/</w:t>
            </w:r>
            <w:r w:rsidRPr="0050225E">
              <w:rPr>
                <w:highlight w:val="yellow"/>
              </w:rPr>
              <w:t>1</w:t>
            </w:r>
            <w:r>
              <w:rPr>
                <w:highlight w:val="yellow"/>
              </w:rPr>
              <w:t>5</w:t>
            </w:r>
            <w:r w:rsidRPr="0050225E">
              <w:rPr>
                <w:highlight w:val="yellow"/>
              </w:rPr>
              <w:t>/21</w:t>
            </w:r>
          </w:p>
          <w:p w14:paraId="5DC1CC2C" w14:textId="3192D235" w:rsidR="00F4610A" w:rsidRPr="00F80EC2" w:rsidRDefault="00F4610A"/>
        </w:tc>
      </w:tr>
    </w:tbl>
    <w:p w14:paraId="110E88F7" w14:textId="77777777" w:rsidR="00B07092" w:rsidRPr="00FE3A8D" w:rsidRDefault="00B07092"/>
    <w:p w14:paraId="75A936F5" w14:textId="77777777" w:rsidR="00CF3E1D" w:rsidRPr="00FE3A8D" w:rsidRDefault="00CF3E1D"/>
    <w:tbl>
      <w:tblPr>
        <w:tblStyle w:val="TableGrid"/>
        <w:tblW w:w="13855" w:type="dxa"/>
        <w:tblLook w:val="04A0" w:firstRow="1" w:lastRow="0" w:firstColumn="1" w:lastColumn="0" w:noHBand="0" w:noVBand="1"/>
      </w:tblPr>
      <w:tblGrid>
        <w:gridCol w:w="355"/>
        <w:gridCol w:w="3510"/>
        <w:gridCol w:w="8460"/>
        <w:gridCol w:w="1530"/>
      </w:tblGrid>
      <w:tr w:rsidR="00B07092" w:rsidRPr="00FE3A8D" w14:paraId="41153861" w14:textId="77777777" w:rsidTr="00D541F7">
        <w:tc>
          <w:tcPr>
            <w:tcW w:w="355" w:type="dxa"/>
          </w:tcPr>
          <w:p w14:paraId="77AE3CED" w14:textId="77777777" w:rsidR="00B07092" w:rsidRPr="00FE3A8D" w:rsidRDefault="00B07092" w:rsidP="004B2381">
            <w:pPr>
              <w:rPr>
                <w:b/>
                <w:bCs/>
              </w:rPr>
            </w:pPr>
            <w:r w:rsidRPr="00FE3A8D">
              <w:rPr>
                <w:b/>
                <w:bCs/>
              </w:rPr>
              <w:t>#</w:t>
            </w:r>
          </w:p>
        </w:tc>
        <w:tc>
          <w:tcPr>
            <w:tcW w:w="3510" w:type="dxa"/>
          </w:tcPr>
          <w:p w14:paraId="72644DE6" w14:textId="2C22F91D" w:rsidR="00B07092" w:rsidRPr="00FE3A8D" w:rsidRDefault="00B07092" w:rsidP="004B2381">
            <w:pPr>
              <w:rPr>
                <w:b/>
                <w:bCs/>
              </w:rPr>
            </w:pPr>
            <w:r w:rsidRPr="00FE3A8D">
              <w:rPr>
                <w:b/>
                <w:bCs/>
              </w:rPr>
              <w:t>WebI Report Question</w:t>
            </w:r>
            <w:r w:rsidR="00A21CA2" w:rsidRPr="00FE3A8D">
              <w:rPr>
                <w:b/>
                <w:bCs/>
              </w:rPr>
              <w:t>/Issue</w:t>
            </w:r>
          </w:p>
        </w:tc>
        <w:tc>
          <w:tcPr>
            <w:tcW w:w="8460" w:type="dxa"/>
          </w:tcPr>
          <w:p w14:paraId="0D0D6FDC" w14:textId="77777777" w:rsidR="00B07092" w:rsidRPr="00FE3A8D" w:rsidRDefault="00F14B67" w:rsidP="004B2381">
            <w:pPr>
              <w:rPr>
                <w:b/>
                <w:bCs/>
              </w:rPr>
            </w:pPr>
            <w:r w:rsidRPr="00FE3A8D">
              <w:rPr>
                <w:b/>
                <w:bCs/>
              </w:rPr>
              <w:t>Response/</w:t>
            </w:r>
            <w:r w:rsidR="00B07092" w:rsidRPr="00FE3A8D">
              <w:rPr>
                <w:b/>
                <w:bCs/>
              </w:rPr>
              <w:t>Status</w:t>
            </w:r>
          </w:p>
        </w:tc>
        <w:tc>
          <w:tcPr>
            <w:tcW w:w="1530" w:type="dxa"/>
          </w:tcPr>
          <w:p w14:paraId="578915C6" w14:textId="77777777" w:rsidR="00B07092" w:rsidRPr="00FE3A8D" w:rsidRDefault="00B07092" w:rsidP="004B2381">
            <w:pPr>
              <w:rPr>
                <w:b/>
                <w:bCs/>
              </w:rPr>
            </w:pPr>
            <w:r w:rsidRPr="00FE3A8D">
              <w:rPr>
                <w:b/>
                <w:bCs/>
              </w:rPr>
              <w:t>Last Updated</w:t>
            </w:r>
          </w:p>
        </w:tc>
      </w:tr>
      <w:tr w:rsidR="00B07092" w:rsidRPr="00FE3A8D" w14:paraId="7B2EF065" w14:textId="77777777" w:rsidTr="00D541F7">
        <w:tc>
          <w:tcPr>
            <w:tcW w:w="355" w:type="dxa"/>
          </w:tcPr>
          <w:p w14:paraId="6620A6D8" w14:textId="77777777" w:rsidR="00B07092" w:rsidRPr="00FE3A8D" w:rsidRDefault="00B07092" w:rsidP="004B2381">
            <w:r w:rsidRPr="00FE3A8D">
              <w:t>1</w:t>
            </w:r>
          </w:p>
        </w:tc>
        <w:tc>
          <w:tcPr>
            <w:tcW w:w="3510" w:type="dxa"/>
          </w:tcPr>
          <w:p w14:paraId="0DADA2DC" w14:textId="77777777" w:rsidR="00B07092" w:rsidRPr="00FE3A8D" w:rsidRDefault="00633B16" w:rsidP="004B2381">
            <w:r w:rsidRPr="00FE3A8D">
              <w:t>Can PINS be added to reports?</w:t>
            </w:r>
          </w:p>
        </w:tc>
        <w:tc>
          <w:tcPr>
            <w:tcW w:w="8460" w:type="dxa"/>
          </w:tcPr>
          <w:p w14:paraId="594D8519" w14:textId="77777777" w:rsidR="00B07092" w:rsidRPr="00FE3A8D" w:rsidRDefault="00633B16" w:rsidP="004B2381">
            <w:r w:rsidRPr="00FE3A8D">
              <w:t>Approved and completed.</w:t>
            </w:r>
          </w:p>
        </w:tc>
        <w:tc>
          <w:tcPr>
            <w:tcW w:w="1530" w:type="dxa"/>
          </w:tcPr>
          <w:p w14:paraId="0DF7EC3F" w14:textId="77777777" w:rsidR="00B07092" w:rsidRPr="00FE3A8D" w:rsidRDefault="00B07092" w:rsidP="004B2381">
            <w:r w:rsidRPr="00FE3A8D">
              <w:t>1/</w:t>
            </w:r>
            <w:r w:rsidR="00633B16" w:rsidRPr="00FE3A8D">
              <w:t>5</w:t>
            </w:r>
            <w:r w:rsidRPr="00FE3A8D">
              <w:t>/21</w:t>
            </w:r>
          </w:p>
        </w:tc>
      </w:tr>
      <w:tr w:rsidR="00B07092" w:rsidRPr="00FE3A8D" w14:paraId="595C2261" w14:textId="77777777" w:rsidTr="00D541F7">
        <w:tc>
          <w:tcPr>
            <w:tcW w:w="355" w:type="dxa"/>
          </w:tcPr>
          <w:p w14:paraId="52C945C8" w14:textId="77777777" w:rsidR="00B07092" w:rsidRPr="00FE3A8D" w:rsidRDefault="00B07092" w:rsidP="004B2381">
            <w:r w:rsidRPr="00FE3A8D">
              <w:t>2</w:t>
            </w:r>
          </w:p>
        </w:tc>
        <w:tc>
          <w:tcPr>
            <w:tcW w:w="3510" w:type="dxa"/>
          </w:tcPr>
          <w:p w14:paraId="0E86E380" w14:textId="77777777" w:rsidR="00B07092" w:rsidRPr="00FE3A8D" w:rsidRDefault="00F14B67" w:rsidP="004B2381">
            <w:r w:rsidRPr="00FE3A8D">
              <w:t>Is all history from EATS, including comments available in a report?</w:t>
            </w:r>
          </w:p>
        </w:tc>
        <w:tc>
          <w:tcPr>
            <w:tcW w:w="8460" w:type="dxa"/>
          </w:tcPr>
          <w:p w14:paraId="67D250CE" w14:textId="77777777" w:rsidR="00F14B67" w:rsidRPr="00FE3A8D" w:rsidRDefault="00F14B67" w:rsidP="00F14B67">
            <w:r w:rsidRPr="00FE3A8D">
              <w:t xml:space="preserve">Yes. A report called </w:t>
            </w:r>
            <w:r w:rsidRPr="00FE3A8D">
              <w:rPr>
                <w:b/>
                <w:bCs/>
              </w:rPr>
              <w:t>EA Report 15: Individual Application History Report</w:t>
            </w:r>
            <w:r w:rsidRPr="00FE3A8D">
              <w:t xml:space="preserve"> is located in the following WEBI folder path:</w:t>
            </w:r>
            <w:r w:rsidR="00D541F7" w:rsidRPr="00FE3A8D">
              <w:t xml:space="preserve"> </w:t>
            </w:r>
            <w:r w:rsidRPr="00FE3A8D">
              <w:rPr>
                <w:i/>
                <w:iCs/>
              </w:rPr>
              <w:t>DCF / WISDOM / Employment Programs / Emergency Assistance / EA Report 15: Individual Application History Report</w:t>
            </w:r>
          </w:p>
          <w:p w14:paraId="0A72EE98" w14:textId="77777777" w:rsidR="00B07092" w:rsidRPr="00FE3A8D" w:rsidRDefault="00B07092" w:rsidP="004B2381"/>
        </w:tc>
        <w:tc>
          <w:tcPr>
            <w:tcW w:w="1530" w:type="dxa"/>
          </w:tcPr>
          <w:p w14:paraId="7637E514" w14:textId="77777777" w:rsidR="00B07092" w:rsidRPr="00FE3A8D" w:rsidRDefault="00B07092" w:rsidP="004B2381">
            <w:r w:rsidRPr="00FE3A8D">
              <w:t>1/</w:t>
            </w:r>
            <w:r w:rsidR="00720763" w:rsidRPr="00FE3A8D">
              <w:t>5</w:t>
            </w:r>
            <w:r w:rsidRPr="00FE3A8D">
              <w:t>/21</w:t>
            </w:r>
          </w:p>
        </w:tc>
      </w:tr>
      <w:tr w:rsidR="00720763" w:rsidRPr="00FE3A8D" w14:paraId="00B669D6" w14:textId="77777777" w:rsidTr="00D541F7">
        <w:tc>
          <w:tcPr>
            <w:tcW w:w="355" w:type="dxa"/>
          </w:tcPr>
          <w:p w14:paraId="3E9FD5A7" w14:textId="77777777" w:rsidR="00720763" w:rsidRPr="00FE3A8D" w:rsidRDefault="00720763" w:rsidP="004B2381">
            <w:r w:rsidRPr="00FE3A8D">
              <w:t>3</w:t>
            </w:r>
          </w:p>
        </w:tc>
        <w:tc>
          <w:tcPr>
            <w:tcW w:w="3510" w:type="dxa"/>
          </w:tcPr>
          <w:p w14:paraId="14D44F86" w14:textId="77777777" w:rsidR="00720763" w:rsidRPr="00FE3A8D" w:rsidRDefault="00720763" w:rsidP="004B2381">
            <w:r w:rsidRPr="00FE3A8D">
              <w:t>Where can I find Payment Delay Exception (PDE) applications from 2020 that are still PDE in 2021?</w:t>
            </w:r>
          </w:p>
        </w:tc>
        <w:tc>
          <w:tcPr>
            <w:tcW w:w="8460" w:type="dxa"/>
          </w:tcPr>
          <w:p w14:paraId="2FFB71B7" w14:textId="77777777" w:rsidR="00720763" w:rsidRPr="00FE3A8D" w:rsidRDefault="00720763" w:rsidP="00720763">
            <w:r w:rsidRPr="00FE3A8D">
              <w:t xml:space="preserve">To handle the cross-over between the two systems, a WEBI report entitled </w:t>
            </w:r>
            <w:r w:rsidRPr="00FE3A8D">
              <w:rPr>
                <w:b/>
                <w:bCs/>
              </w:rPr>
              <w:t xml:space="preserve">EA Ad Hoc Report – Approved Applications </w:t>
            </w:r>
            <w:r w:rsidR="00E8645B" w:rsidRPr="00FE3A8D">
              <w:rPr>
                <w:b/>
                <w:bCs/>
              </w:rPr>
              <w:t>w</w:t>
            </w:r>
            <w:r w:rsidRPr="00FE3A8D">
              <w:rPr>
                <w:b/>
                <w:bCs/>
              </w:rPr>
              <w:t>ith Payment Delay Exception From 2020 Continuing Into 2021</w:t>
            </w:r>
            <w:r w:rsidRPr="00FE3A8D">
              <w:t xml:space="preserve"> has been added to the following folder path:</w:t>
            </w:r>
            <w:r w:rsidR="00D541F7" w:rsidRPr="00FE3A8D">
              <w:t xml:space="preserve"> </w:t>
            </w:r>
            <w:r w:rsidRPr="00FE3A8D">
              <w:rPr>
                <w:i/>
                <w:iCs/>
              </w:rPr>
              <w:t>DCF / WISDOM / Employment Programs / Emergency Assistance / New EA System (Beginning 1/1/2021)</w:t>
            </w:r>
          </w:p>
          <w:p w14:paraId="5C464F7F" w14:textId="77777777" w:rsidR="00720763" w:rsidRPr="00FE3A8D" w:rsidRDefault="00720763" w:rsidP="00F14B67"/>
        </w:tc>
        <w:tc>
          <w:tcPr>
            <w:tcW w:w="1530" w:type="dxa"/>
          </w:tcPr>
          <w:p w14:paraId="1064A90F" w14:textId="77777777" w:rsidR="00720763" w:rsidRPr="00FE3A8D" w:rsidRDefault="00720763" w:rsidP="004B2381">
            <w:r w:rsidRPr="00FE3A8D">
              <w:t>1/5/21</w:t>
            </w:r>
          </w:p>
        </w:tc>
      </w:tr>
      <w:tr w:rsidR="00A21CA2" w:rsidRPr="00FE3A8D" w14:paraId="337EE576" w14:textId="77777777" w:rsidTr="00D541F7">
        <w:tc>
          <w:tcPr>
            <w:tcW w:w="355" w:type="dxa"/>
          </w:tcPr>
          <w:p w14:paraId="304805BE" w14:textId="2635B13E" w:rsidR="00A21CA2" w:rsidRPr="00FE3A8D" w:rsidRDefault="00A21CA2" w:rsidP="004B2381">
            <w:r w:rsidRPr="00FE3A8D">
              <w:t>4</w:t>
            </w:r>
          </w:p>
        </w:tc>
        <w:tc>
          <w:tcPr>
            <w:tcW w:w="3510" w:type="dxa"/>
          </w:tcPr>
          <w:p w14:paraId="23AD3149" w14:textId="6E6D162B" w:rsidR="00A21CA2" w:rsidRPr="0069666F" w:rsidRDefault="00A21CA2" w:rsidP="0069666F">
            <w:pPr>
              <w:pStyle w:val="ListParagraph"/>
              <w:numPr>
                <w:ilvl w:val="0"/>
                <w:numId w:val="4"/>
              </w:numPr>
              <w:rPr>
                <w:b/>
                <w:bCs/>
              </w:rPr>
            </w:pPr>
            <w:r w:rsidRPr="00FE3A8D">
              <w:t xml:space="preserve">Some applications are not displaying on </w:t>
            </w:r>
            <w:r w:rsidR="00C04CA5" w:rsidRPr="00FE3A8D">
              <w:t xml:space="preserve">report </w:t>
            </w:r>
            <w:r w:rsidR="00C04CA5" w:rsidRPr="0069666F">
              <w:rPr>
                <w:b/>
                <w:bCs/>
              </w:rPr>
              <w:t xml:space="preserve">EA </w:t>
            </w:r>
            <w:r w:rsidR="006C59C0" w:rsidRPr="0069666F">
              <w:rPr>
                <w:b/>
                <w:bCs/>
              </w:rPr>
              <w:lastRenderedPageBreak/>
              <w:t xml:space="preserve">Report </w:t>
            </w:r>
            <w:r w:rsidR="00C04CA5" w:rsidRPr="0069666F">
              <w:rPr>
                <w:b/>
                <w:bCs/>
              </w:rPr>
              <w:t xml:space="preserve">06 – Emergency Assistance </w:t>
            </w:r>
            <w:r w:rsidR="006C59C0" w:rsidRPr="0069666F">
              <w:rPr>
                <w:b/>
                <w:bCs/>
              </w:rPr>
              <w:t>A</w:t>
            </w:r>
            <w:r w:rsidR="00C04CA5" w:rsidRPr="0069666F">
              <w:rPr>
                <w:b/>
                <w:bCs/>
              </w:rPr>
              <w:t>pplication Pending or In Progress Beyond 5 Days</w:t>
            </w:r>
          </w:p>
          <w:p w14:paraId="56111780" w14:textId="2D0ABD2F" w:rsidR="00A56BAF" w:rsidRPr="00FE3A8D" w:rsidRDefault="00A56BAF" w:rsidP="00441AB4">
            <w:pPr>
              <w:pStyle w:val="ListParagraph"/>
            </w:pPr>
          </w:p>
        </w:tc>
        <w:tc>
          <w:tcPr>
            <w:tcW w:w="8460" w:type="dxa"/>
          </w:tcPr>
          <w:p w14:paraId="68BF5C4B" w14:textId="4F1F19C7" w:rsidR="00A21CA2" w:rsidRPr="00FE3A8D" w:rsidRDefault="00C04CA5" w:rsidP="00720763">
            <w:r w:rsidRPr="00FE3A8D">
              <w:lastRenderedPageBreak/>
              <w:t>This will be fixed by COB 1/7/21.</w:t>
            </w:r>
          </w:p>
        </w:tc>
        <w:tc>
          <w:tcPr>
            <w:tcW w:w="1530" w:type="dxa"/>
          </w:tcPr>
          <w:p w14:paraId="10449E70" w14:textId="02B215AC" w:rsidR="00A21CA2" w:rsidRPr="00FE3A8D" w:rsidRDefault="00C04CA5" w:rsidP="004B2381">
            <w:r w:rsidRPr="00FE3A8D">
              <w:t>1/7/21</w:t>
            </w:r>
          </w:p>
        </w:tc>
      </w:tr>
      <w:tr w:rsidR="00892813" w:rsidRPr="00FE3A8D" w14:paraId="3C758CE8" w14:textId="77777777" w:rsidTr="00D541F7">
        <w:tc>
          <w:tcPr>
            <w:tcW w:w="355" w:type="dxa"/>
          </w:tcPr>
          <w:p w14:paraId="382824DA" w14:textId="04AB6BE3" w:rsidR="00892813" w:rsidRPr="00FE3A8D" w:rsidRDefault="00892813" w:rsidP="004B2381">
            <w:r>
              <w:t>5</w:t>
            </w:r>
          </w:p>
        </w:tc>
        <w:tc>
          <w:tcPr>
            <w:tcW w:w="3510" w:type="dxa"/>
          </w:tcPr>
          <w:p w14:paraId="7E270BF6" w14:textId="79EF1ADA" w:rsidR="00892813" w:rsidRPr="00575153" w:rsidRDefault="00892813" w:rsidP="00892813">
            <w:pPr>
              <w:rPr>
                <w:rFonts w:eastAsia="Times New Roman"/>
                <w:color w:val="000000"/>
                <w:sz w:val="24"/>
                <w:szCs w:val="24"/>
              </w:rPr>
            </w:pPr>
            <w:r w:rsidRPr="00575153">
              <w:rPr>
                <w:rFonts w:eastAsia="Times New Roman"/>
                <w:color w:val="000000"/>
                <w:sz w:val="24"/>
                <w:szCs w:val="24"/>
              </w:rPr>
              <w:t>Is it possible to add 2 WebI reports that were in the list of old EA WebI reports?  The report numbers were #9 and #12.</w:t>
            </w:r>
          </w:p>
          <w:p w14:paraId="64E60F9C" w14:textId="77777777" w:rsidR="00892813" w:rsidRPr="00575153" w:rsidRDefault="00892813" w:rsidP="00892813">
            <w:pPr>
              <w:rPr>
                <w:rFonts w:eastAsia="Times New Roman"/>
                <w:color w:val="000000"/>
                <w:sz w:val="24"/>
                <w:szCs w:val="24"/>
              </w:rPr>
            </w:pPr>
          </w:p>
          <w:p w14:paraId="3B02DB12" w14:textId="07EDCE4D" w:rsidR="00892813" w:rsidRPr="00575153" w:rsidRDefault="00892813" w:rsidP="00892813">
            <w:pPr>
              <w:rPr>
                <w:rFonts w:eastAsia="Times New Roman"/>
                <w:color w:val="000000"/>
                <w:sz w:val="24"/>
                <w:szCs w:val="24"/>
              </w:rPr>
            </w:pPr>
            <w:r w:rsidRPr="00575153">
              <w:rPr>
                <w:rFonts w:eastAsia="Times New Roman"/>
                <w:color w:val="000000"/>
                <w:sz w:val="24"/>
                <w:szCs w:val="24"/>
              </w:rPr>
              <w:t xml:space="preserve">#9 is the Performance Outcome </w:t>
            </w:r>
            <w:proofErr w:type="gramStart"/>
            <w:r w:rsidRPr="00575153">
              <w:rPr>
                <w:rFonts w:eastAsia="Times New Roman"/>
                <w:color w:val="000000"/>
                <w:sz w:val="24"/>
                <w:szCs w:val="24"/>
              </w:rPr>
              <w:t>report</w:t>
            </w:r>
            <w:proofErr w:type="gramEnd"/>
            <w:r w:rsidRPr="00575153">
              <w:rPr>
                <w:rFonts w:eastAsia="Times New Roman"/>
                <w:color w:val="000000"/>
                <w:sz w:val="24"/>
                <w:szCs w:val="24"/>
              </w:rPr>
              <w:t xml:space="preserve"> which is a list of monthly earned apps, take backs, etc.</w:t>
            </w:r>
          </w:p>
          <w:p w14:paraId="7CD252BD" w14:textId="7D8F34F2" w:rsidR="00892813" w:rsidRPr="00575153" w:rsidRDefault="00892813" w:rsidP="00892813">
            <w:pPr>
              <w:rPr>
                <w:rFonts w:eastAsia="Times New Roman"/>
                <w:color w:val="000000"/>
                <w:sz w:val="24"/>
                <w:szCs w:val="24"/>
              </w:rPr>
            </w:pPr>
            <w:r w:rsidRPr="00575153">
              <w:rPr>
                <w:rFonts w:eastAsia="Times New Roman"/>
                <w:color w:val="000000"/>
                <w:sz w:val="24"/>
                <w:szCs w:val="24"/>
              </w:rPr>
              <w:t>#12  is the Monthly Agency Detail report for applications that have been approved and paid.  We use it for check reconciliation and to make sure that we didn't miss entering check numbers and/or payments.</w:t>
            </w:r>
          </w:p>
          <w:p w14:paraId="771A91B0" w14:textId="77777777" w:rsidR="00892813" w:rsidRPr="00575153" w:rsidRDefault="00892813" w:rsidP="004B2381"/>
        </w:tc>
        <w:tc>
          <w:tcPr>
            <w:tcW w:w="8460" w:type="dxa"/>
          </w:tcPr>
          <w:p w14:paraId="42794D5B" w14:textId="77777777" w:rsidR="0098656D" w:rsidRDefault="0098656D" w:rsidP="00720763"/>
          <w:p w14:paraId="51540C9D" w14:textId="48514CB3" w:rsidR="00892813" w:rsidRPr="00575153" w:rsidRDefault="0098656D" w:rsidP="00720763">
            <w:bookmarkStart w:id="1" w:name="_GoBack"/>
            <w:bookmarkEnd w:id="1"/>
            <w:r w:rsidRPr="00B71C39">
              <w:rPr>
                <w:highlight w:val="yellow"/>
              </w:rPr>
              <w:t>T</w:t>
            </w:r>
            <w:r w:rsidRPr="00B71C39">
              <w:rPr>
                <w:highlight w:val="yellow"/>
              </w:rPr>
              <w:t>h</w:t>
            </w:r>
            <w:r w:rsidRPr="00B71C39">
              <w:rPr>
                <w:highlight w:val="yellow"/>
              </w:rPr>
              <w:t>e</w:t>
            </w:r>
            <w:r w:rsidRPr="00B71C39">
              <w:rPr>
                <w:highlight w:val="yellow"/>
              </w:rPr>
              <w:t xml:space="preserve"> report request</w:t>
            </w:r>
            <w:r w:rsidR="00B71C39" w:rsidRPr="00B71C39">
              <w:rPr>
                <w:highlight w:val="yellow"/>
              </w:rPr>
              <w:t xml:space="preserve"> to add the old EATS report #12 to WebI</w:t>
            </w:r>
            <w:r w:rsidRPr="00B71C39">
              <w:rPr>
                <w:highlight w:val="yellow"/>
              </w:rPr>
              <w:t xml:space="preserve"> </w:t>
            </w:r>
            <w:r w:rsidR="00B71C39" w:rsidRPr="00B71C39">
              <w:rPr>
                <w:highlight w:val="yellow"/>
              </w:rPr>
              <w:t>is</w:t>
            </w:r>
            <w:r w:rsidRPr="00B71C39">
              <w:rPr>
                <w:highlight w:val="yellow"/>
              </w:rPr>
              <w:t xml:space="preserve"> in the queue tracked in our management system as Share</w:t>
            </w:r>
            <w:r w:rsidRPr="00B71C39">
              <w:rPr>
                <w:highlight w:val="yellow"/>
              </w:rPr>
              <w:t>P</w:t>
            </w:r>
            <w:r w:rsidRPr="00B71C39">
              <w:rPr>
                <w:highlight w:val="yellow"/>
              </w:rPr>
              <w:t xml:space="preserve">oint assignment ID# 202104. </w:t>
            </w:r>
            <w:r w:rsidRPr="00B71C39">
              <w:rPr>
                <w:highlight w:val="yellow"/>
              </w:rPr>
              <w:t>T</w:t>
            </w:r>
            <w:r w:rsidRPr="00B71C39">
              <w:rPr>
                <w:highlight w:val="yellow"/>
              </w:rPr>
              <w:t xml:space="preserve">he report team </w:t>
            </w:r>
            <w:r w:rsidRPr="00B71C39">
              <w:rPr>
                <w:highlight w:val="yellow"/>
              </w:rPr>
              <w:t>is</w:t>
            </w:r>
            <w:r w:rsidRPr="00B71C39">
              <w:rPr>
                <w:highlight w:val="yellow"/>
              </w:rPr>
              <w:t xml:space="preserve"> currently experiencing a</w:t>
            </w:r>
            <w:r w:rsidRPr="00B71C39">
              <w:rPr>
                <w:highlight w:val="yellow"/>
              </w:rPr>
              <w:t xml:space="preserve"> </w:t>
            </w:r>
            <w:r w:rsidRPr="00B71C39">
              <w:rPr>
                <w:highlight w:val="yellow"/>
              </w:rPr>
              <w:t>backlog that is exceeding limited staff capacity, but in the mean</w:t>
            </w:r>
            <w:r w:rsidRPr="00B71C39">
              <w:rPr>
                <w:highlight w:val="yellow"/>
              </w:rPr>
              <w:t>t</w:t>
            </w:r>
            <w:r w:rsidRPr="00B71C39">
              <w:rPr>
                <w:highlight w:val="yellow"/>
              </w:rPr>
              <w:t>ime for agency operational need one potential workaround is that W</w:t>
            </w:r>
            <w:r w:rsidRPr="00B71C39">
              <w:rPr>
                <w:highlight w:val="yellow"/>
              </w:rPr>
              <w:t>eb</w:t>
            </w:r>
            <w:r w:rsidRPr="00B71C39">
              <w:rPr>
                <w:highlight w:val="yellow"/>
              </w:rPr>
              <w:t>I reports</w:t>
            </w:r>
            <w:r w:rsidRPr="00B71C39">
              <w:rPr>
                <w:b/>
                <w:bCs/>
                <w:highlight w:val="yellow"/>
              </w:rPr>
              <w:t xml:space="preserve"> EA 03-Emergency Assistance Payments</w:t>
            </w:r>
            <w:r w:rsidRPr="00B71C39">
              <w:rPr>
                <w:highlight w:val="yellow"/>
              </w:rPr>
              <w:t xml:space="preserve"> and </w:t>
            </w:r>
            <w:r w:rsidRPr="00B71C39">
              <w:rPr>
                <w:b/>
                <w:bCs/>
                <w:highlight w:val="yellow"/>
              </w:rPr>
              <w:t>EA 02-Emergency Assistance Monthly Timeliness Processing</w:t>
            </w:r>
            <w:r w:rsidRPr="00B71C39">
              <w:rPr>
                <w:highlight w:val="yellow"/>
              </w:rPr>
              <w:t xml:space="preserve"> may be exported out of W</w:t>
            </w:r>
            <w:r w:rsidRPr="00B71C39">
              <w:rPr>
                <w:highlight w:val="yellow"/>
              </w:rPr>
              <w:t>eb</w:t>
            </w:r>
            <w:r w:rsidRPr="00B71C39">
              <w:rPr>
                <w:highlight w:val="yellow"/>
              </w:rPr>
              <w:t xml:space="preserve">I to .CSV format to gain access to all the data elements behind the reports to potentially cover what was previously contained in the old EA #9 and #12 (note that EA POP has been cancelled and replaced with cost reimbursement so the EA POP report </w:t>
            </w:r>
            <w:r w:rsidR="00B71C39" w:rsidRPr="00B71C39">
              <w:rPr>
                <w:highlight w:val="yellow"/>
              </w:rPr>
              <w:t xml:space="preserve">#9 </w:t>
            </w:r>
            <w:r w:rsidRPr="00B71C39">
              <w:rPr>
                <w:highlight w:val="yellow"/>
              </w:rPr>
              <w:t>was declared out-of-scope, but for tracking timeliness the data from EA 02 may be utilized in .CSV to customize a table format).</w:t>
            </w:r>
          </w:p>
        </w:tc>
        <w:tc>
          <w:tcPr>
            <w:tcW w:w="1530" w:type="dxa"/>
          </w:tcPr>
          <w:p w14:paraId="15A3268D" w14:textId="77777777" w:rsidR="00892813" w:rsidRPr="00575153" w:rsidRDefault="00892813" w:rsidP="004B2381"/>
          <w:p w14:paraId="2074D0A8" w14:textId="67C4F199" w:rsidR="00892813" w:rsidRPr="00575153" w:rsidRDefault="0098656D" w:rsidP="004B2381">
            <w:r w:rsidRPr="0098656D">
              <w:rPr>
                <w:highlight w:val="yellow"/>
              </w:rPr>
              <w:t>2/15/21</w:t>
            </w:r>
          </w:p>
        </w:tc>
      </w:tr>
      <w:tr w:rsidR="00575153" w:rsidRPr="00FE3A8D" w14:paraId="005D2C0F" w14:textId="77777777" w:rsidTr="00D541F7">
        <w:tc>
          <w:tcPr>
            <w:tcW w:w="355" w:type="dxa"/>
          </w:tcPr>
          <w:p w14:paraId="4A8E4666" w14:textId="116FFB11" w:rsidR="00575153" w:rsidRPr="006E33D8" w:rsidRDefault="00575153" w:rsidP="004B2381">
            <w:r w:rsidRPr="006E33D8">
              <w:t>6</w:t>
            </w:r>
          </w:p>
        </w:tc>
        <w:tc>
          <w:tcPr>
            <w:tcW w:w="3510" w:type="dxa"/>
          </w:tcPr>
          <w:p w14:paraId="4F2FA413" w14:textId="7DD23817" w:rsidR="00575153" w:rsidRPr="006E33D8" w:rsidRDefault="008553F1" w:rsidP="00892813">
            <w:pPr>
              <w:rPr>
                <w:rFonts w:eastAsia="Times New Roman"/>
                <w:color w:val="000000"/>
                <w:sz w:val="24"/>
                <w:szCs w:val="24"/>
              </w:rPr>
            </w:pPr>
            <w:r w:rsidRPr="006E33D8">
              <w:rPr>
                <w:rFonts w:eastAsia="Times New Roman"/>
                <w:color w:val="000000"/>
                <w:sz w:val="24"/>
                <w:szCs w:val="24"/>
              </w:rPr>
              <w:t xml:space="preserve">Can Reports 6 and 6b be updated so that the “In Progress” and PDEs (Pending) applications are separated? </w:t>
            </w:r>
          </w:p>
        </w:tc>
        <w:tc>
          <w:tcPr>
            <w:tcW w:w="8460" w:type="dxa"/>
          </w:tcPr>
          <w:p w14:paraId="71B651C1" w14:textId="1EB66D94" w:rsidR="00575153" w:rsidRPr="006E33D8" w:rsidRDefault="008553F1" w:rsidP="00720763">
            <w:r w:rsidRPr="006E33D8">
              <w:t xml:space="preserve">Yes. </w:t>
            </w:r>
            <w:r w:rsidRPr="006E33D8">
              <w:rPr>
                <w:rFonts w:eastAsia="Times New Roman"/>
                <w:color w:val="000000"/>
                <w:sz w:val="24"/>
                <w:szCs w:val="24"/>
              </w:rPr>
              <w:t>They are now shown in separate tabs of the report, one for the on-hold (tab called “In Progress”) and one for the PDE’s (tab called “Pending”).</w:t>
            </w:r>
          </w:p>
        </w:tc>
        <w:tc>
          <w:tcPr>
            <w:tcW w:w="1530" w:type="dxa"/>
          </w:tcPr>
          <w:p w14:paraId="7A6B45AE" w14:textId="6F2EDCC1" w:rsidR="00575153" w:rsidRPr="006E33D8" w:rsidRDefault="008553F1" w:rsidP="004B2381">
            <w:r w:rsidRPr="006E33D8">
              <w:t>1/12/21</w:t>
            </w:r>
          </w:p>
        </w:tc>
      </w:tr>
    </w:tbl>
    <w:p w14:paraId="7106F1DC" w14:textId="55AFE7DA" w:rsidR="00B07092" w:rsidRPr="00FE3A8D" w:rsidRDefault="00B07092"/>
    <w:p w14:paraId="585E8B88" w14:textId="77777777" w:rsidR="00704B1D" w:rsidRPr="00FE3A8D" w:rsidRDefault="00704B1D"/>
    <w:tbl>
      <w:tblPr>
        <w:tblStyle w:val="TableGrid"/>
        <w:tblW w:w="13855" w:type="dxa"/>
        <w:tblLook w:val="04A0" w:firstRow="1" w:lastRow="0" w:firstColumn="1" w:lastColumn="0" w:noHBand="0" w:noVBand="1"/>
      </w:tblPr>
      <w:tblGrid>
        <w:gridCol w:w="355"/>
        <w:gridCol w:w="3510"/>
        <w:gridCol w:w="8460"/>
        <w:gridCol w:w="1530"/>
      </w:tblGrid>
      <w:tr w:rsidR="006B3648" w:rsidRPr="00FE3A8D" w14:paraId="537AD29B" w14:textId="77777777" w:rsidTr="00D541F7">
        <w:tc>
          <w:tcPr>
            <w:tcW w:w="355" w:type="dxa"/>
          </w:tcPr>
          <w:p w14:paraId="32796AD4" w14:textId="77777777" w:rsidR="006B3648" w:rsidRPr="00FE3A8D" w:rsidRDefault="006B3648" w:rsidP="004B2381">
            <w:pPr>
              <w:rPr>
                <w:b/>
                <w:bCs/>
              </w:rPr>
            </w:pPr>
            <w:r w:rsidRPr="00FE3A8D">
              <w:rPr>
                <w:b/>
                <w:bCs/>
              </w:rPr>
              <w:t>#</w:t>
            </w:r>
          </w:p>
        </w:tc>
        <w:tc>
          <w:tcPr>
            <w:tcW w:w="3510" w:type="dxa"/>
          </w:tcPr>
          <w:p w14:paraId="7704073A" w14:textId="77777777" w:rsidR="006B3648" w:rsidRPr="00FE3A8D" w:rsidRDefault="006B3648" w:rsidP="004B2381">
            <w:pPr>
              <w:rPr>
                <w:b/>
                <w:bCs/>
              </w:rPr>
            </w:pPr>
            <w:r w:rsidRPr="00FE3A8D">
              <w:rPr>
                <w:b/>
                <w:bCs/>
              </w:rPr>
              <w:t>Policy Question</w:t>
            </w:r>
          </w:p>
        </w:tc>
        <w:tc>
          <w:tcPr>
            <w:tcW w:w="8460" w:type="dxa"/>
          </w:tcPr>
          <w:p w14:paraId="70962F75" w14:textId="77777777" w:rsidR="006B3648" w:rsidRPr="00FE3A8D" w:rsidRDefault="006B3648" w:rsidP="004B2381">
            <w:pPr>
              <w:rPr>
                <w:b/>
                <w:bCs/>
              </w:rPr>
            </w:pPr>
            <w:r w:rsidRPr="00FE3A8D">
              <w:rPr>
                <w:b/>
                <w:bCs/>
              </w:rPr>
              <w:t>Response/Status</w:t>
            </w:r>
          </w:p>
        </w:tc>
        <w:tc>
          <w:tcPr>
            <w:tcW w:w="1530" w:type="dxa"/>
          </w:tcPr>
          <w:p w14:paraId="4CA79137" w14:textId="77777777" w:rsidR="006B3648" w:rsidRPr="00FE3A8D" w:rsidRDefault="006B3648" w:rsidP="004B2381">
            <w:pPr>
              <w:rPr>
                <w:b/>
                <w:bCs/>
              </w:rPr>
            </w:pPr>
            <w:r w:rsidRPr="00FE3A8D">
              <w:rPr>
                <w:b/>
                <w:bCs/>
              </w:rPr>
              <w:t>Last Updated</w:t>
            </w:r>
          </w:p>
        </w:tc>
      </w:tr>
      <w:tr w:rsidR="006B3648" w:rsidRPr="00FE3A8D" w14:paraId="70CA7A33" w14:textId="77777777" w:rsidTr="00D541F7">
        <w:tc>
          <w:tcPr>
            <w:tcW w:w="355" w:type="dxa"/>
          </w:tcPr>
          <w:p w14:paraId="29EE662B" w14:textId="77777777" w:rsidR="006B3648" w:rsidRPr="00FE3A8D" w:rsidRDefault="003961EE" w:rsidP="004B2381">
            <w:r w:rsidRPr="00FE3A8D">
              <w:t>1</w:t>
            </w:r>
          </w:p>
        </w:tc>
        <w:tc>
          <w:tcPr>
            <w:tcW w:w="3510" w:type="dxa"/>
          </w:tcPr>
          <w:p w14:paraId="39D23BA4" w14:textId="77777777" w:rsidR="006B3648" w:rsidRPr="00FE3A8D" w:rsidRDefault="00F8704F" w:rsidP="004B2381">
            <w:r w:rsidRPr="00FE3A8D">
              <w:t>Should we use “other” or “agency form” as the verification of W-2 income?</w:t>
            </w:r>
          </w:p>
        </w:tc>
        <w:tc>
          <w:tcPr>
            <w:tcW w:w="8460" w:type="dxa"/>
          </w:tcPr>
          <w:p w14:paraId="5146C903" w14:textId="4D4CC01C" w:rsidR="006B3648" w:rsidRPr="00FE3A8D" w:rsidRDefault="00F8704F" w:rsidP="004B2381">
            <w:r w:rsidRPr="00FE3A8D">
              <w:t xml:space="preserve">Either, but a best practice is to document in comments that you entered what you viewed on the </w:t>
            </w:r>
            <w:r w:rsidR="00EF34C4" w:rsidRPr="00FE3A8D">
              <w:t xml:space="preserve">CARES Mainframe </w:t>
            </w:r>
            <w:r w:rsidRPr="00FE3A8D">
              <w:t>payment screen.</w:t>
            </w:r>
          </w:p>
        </w:tc>
        <w:tc>
          <w:tcPr>
            <w:tcW w:w="1530" w:type="dxa"/>
          </w:tcPr>
          <w:p w14:paraId="239A480A" w14:textId="77777777" w:rsidR="006B3648" w:rsidRPr="00FE3A8D" w:rsidRDefault="00F8704F" w:rsidP="004B2381">
            <w:r w:rsidRPr="00FE3A8D">
              <w:t>1/5/21</w:t>
            </w:r>
          </w:p>
        </w:tc>
      </w:tr>
      <w:tr w:rsidR="006B3648" w:rsidRPr="00FE3A8D" w14:paraId="4DB5A44D" w14:textId="77777777" w:rsidTr="00D541F7">
        <w:tc>
          <w:tcPr>
            <w:tcW w:w="355" w:type="dxa"/>
          </w:tcPr>
          <w:p w14:paraId="22BEFD2D" w14:textId="77777777" w:rsidR="006B3648" w:rsidRPr="00FE3A8D" w:rsidRDefault="003961EE" w:rsidP="004B2381">
            <w:r w:rsidRPr="00FE3A8D">
              <w:lastRenderedPageBreak/>
              <w:t>2</w:t>
            </w:r>
          </w:p>
        </w:tc>
        <w:tc>
          <w:tcPr>
            <w:tcW w:w="3510" w:type="dxa"/>
          </w:tcPr>
          <w:p w14:paraId="4C59C16E" w14:textId="77777777" w:rsidR="006B3648" w:rsidRPr="0013010A" w:rsidRDefault="008D1446" w:rsidP="00B671BA">
            <w:pPr>
              <w:pStyle w:val="ListParagraph"/>
              <w:numPr>
                <w:ilvl w:val="0"/>
                <w:numId w:val="7"/>
              </w:numPr>
            </w:pPr>
            <w:r w:rsidRPr="0013010A">
              <w:t>How should agencies handle online EA Requests for Assistance where we’ve lost contact or have been unsuccessful at reaching the applicant within 5 days to complete the EA Application?</w:t>
            </w:r>
          </w:p>
          <w:p w14:paraId="14036A90" w14:textId="1AF0644C" w:rsidR="00B671BA" w:rsidRPr="0013010A" w:rsidRDefault="00B671BA" w:rsidP="00B671BA">
            <w:pPr>
              <w:pStyle w:val="ListParagraph"/>
              <w:numPr>
                <w:ilvl w:val="0"/>
                <w:numId w:val="7"/>
              </w:numPr>
            </w:pPr>
            <w:r w:rsidRPr="0013010A">
              <w:t>When is an ACCESS submission a completed application, and when is it a request? </w:t>
            </w:r>
          </w:p>
        </w:tc>
        <w:tc>
          <w:tcPr>
            <w:tcW w:w="8460" w:type="dxa"/>
          </w:tcPr>
          <w:p w14:paraId="46FB159D" w14:textId="6967259E" w:rsidR="006B3648" w:rsidRPr="0013010A" w:rsidRDefault="008D1446" w:rsidP="00B671BA">
            <w:pPr>
              <w:pStyle w:val="ListParagraph"/>
              <w:numPr>
                <w:ilvl w:val="0"/>
                <w:numId w:val="8"/>
              </w:numPr>
            </w:pPr>
            <w:r w:rsidRPr="0013010A">
              <w:t xml:space="preserve">Requests for </w:t>
            </w:r>
            <w:r w:rsidR="005307EE" w:rsidRPr="0013010A">
              <w:t>A</w:t>
            </w:r>
            <w:r w:rsidRPr="0013010A">
              <w:t xml:space="preserve">ssistance </w:t>
            </w:r>
            <w:r w:rsidR="005307EE" w:rsidRPr="0013010A">
              <w:t xml:space="preserve">from ACCESS </w:t>
            </w:r>
            <w:r w:rsidRPr="0013010A">
              <w:t xml:space="preserve">should not be entered into WWP unless the applicant submits a completed application. See EA Manual Section </w:t>
            </w:r>
            <w:hyperlink r:id="rId7" w:history="1">
              <w:r w:rsidRPr="0013010A">
                <w:rPr>
                  <w:rStyle w:val="Hyperlink"/>
                </w:rPr>
                <w:t>1.2.2</w:t>
              </w:r>
            </w:hyperlink>
            <w:r w:rsidRPr="0013010A">
              <w:t xml:space="preserve"> for what makes a completed application.</w:t>
            </w:r>
          </w:p>
          <w:p w14:paraId="25351E6D" w14:textId="77777777" w:rsidR="004F4075" w:rsidRPr="0013010A" w:rsidRDefault="004F4075" w:rsidP="004B2381"/>
          <w:p w14:paraId="677D0A4F" w14:textId="77777777" w:rsidR="004F4075" w:rsidRPr="0013010A" w:rsidRDefault="004F4075" w:rsidP="00B671BA">
            <w:pPr>
              <w:pStyle w:val="ListParagraph"/>
            </w:pPr>
            <w:r w:rsidRPr="0013010A">
              <w:t xml:space="preserve">Continue separate documentation of </w:t>
            </w:r>
            <w:r w:rsidR="00F6600A" w:rsidRPr="0013010A">
              <w:t xml:space="preserve">RFAs from ACCESS that do not result in a completed application due to inability to reach the applicant. </w:t>
            </w:r>
          </w:p>
          <w:p w14:paraId="281E0366" w14:textId="77777777" w:rsidR="00B671BA" w:rsidRPr="0013010A" w:rsidRDefault="00B671BA" w:rsidP="00B671BA">
            <w:pPr>
              <w:pStyle w:val="ListParagraph"/>
            </w:pPr>
          </w:p>
          <w:p w14:paraId="00F6B485" w14:textId="77777777" w:rsidR="00B671BA" w:rsidRPr="0013010A" w:rsidRDefault="00B671BA" w:rsidP="004B2381"/>
          <w:p w14:paraId="0F1F0090" w14:textId="4BEDFE5B" w:rsidR="00B671BA" w:rsidRPr="0013010A" w:rsidRDefault="00B671BA" w:rsidP="00B671BA">
            <w:pPr>
              <w:pStyle w:val="ListParagraph"/>
              <w:numPr>
                <w:ilvl w:val="0"/>
                <w:numId w:val="8"/>
              </w:numPr>
              <w:rPr>
                <w:rFonts w:eastAsia="Times New Roman"/>
                <w:color w:val="000000"/>
                <w:sz w:val="24"/>
                <w:szCs w:val="24"/>
              </w:rPr>
            </w:pPr>
            <w:r w:rsidRPr="0013010A">
              <w:rPr>
                <w:rFonts w:eastAsia="Times New Roman"/>
                <w:color w:val="000000"/>
                <w:sz w:val="24"/>
                <w:szCs w:val="24"/>
              </w:rPr>
              <w:t>In your simplified inbox in CWW, when a request comes from ACCESS that is a simplified request for assistance only and not a full application, it will NOT have a case number. Those that are complete applications do have a case number. Requests for assistance don't have income information and other details, whereas a full application has essentially everything the paper EA application has. </w:t>
            </w:r>
          </w:p>
          <w:p w14:paraId="33653EA6" w14:textId="77777777" w:rsidR="00B671BA" w:rsidRPr="0013010A" w:rsidRDefault="00B671BA" w:rsidP="00B671BA">
            <w:pPr>
              <w:rPr>
                <w:rFonts w:eastAsia="Times New Roman"/>
                <w:color w:val="000000"/>
                <w:sz w:val="24"/>
                <w:szCs w:val="24"/>
              </w:rPr>
            </w:pPr>
          </w:p>
          <w:p w14:paraId="4E2131D5" w14:textId="77777777" w:rsidR="00B671BA" w:rsidRPr="0013010A" w:rsidRDefault="00B671BA" w:rsidP="00B671BA">
            <w:pPr>
              <w:pStyle w:val="ListParagraph"/>
              <w:rPr>
                <w:rFonts w:eastAsia="Times New Roman"/>
                <w:color w:val="000000"/>
                <w:sz w:val="24"/>
                <w:szCs w:val="24"/>
              </w:rPr>
            </w:pPr>
            <w:r w:rsidRPr="0013010A">
              <w:rPr>
                <w:rFonts w:eastAsia="Times New Roman"/>
                <w:color w:val="000000"/>
                <w:sz w:val="24"/>
                <w:szCs w:val="24"/>
              </w:rPr>
              <w:t>Those that come over as a request for assistance require the complete application process to be conducted, i.e. the applicant needs to fill out the EA application. Since the request for assistance isn't an actual application, if you are unable to reach the applicant to complete the application, you would not enter any information into WWP. </w:t>
            </w:r>
          </w:p>
          <w:p w14:paraId="621BC72A" w14:textId="376D630A" w:rsidR="00B671BA" w:rsidRPr="0013010A" w:rsidRDefault="00B671BA" w:rsidP="00B671BA">
            <w:pPr>
              <w:pStyle w:val="ListParagraph"/>
            </w:pPr>
          </w:p>
        </w:tc>
        <w:tc>
          <w:tcPr>
            <w:tcW w:w="1530" w:type="dxa"/>
          </w:tcPr>
          <w:p w14:paraId="4F4614FC" w14:textId="77777777" w:rsidR="006B3648" w:rsidRPr="0013010A" w:rsidRDefault="008D1446" w:rsidP="004B2381">
            <w:r w:rsidRPr="0013010A">
              <w:t>1/5/21</w:t>
            </w:r>
          </w:p>
          <w:p w14:paraId="66EF80A0" w14:textId="77777777" w:rsidR="00B671BA" w:rsidRPr="0013010A" w:rsidRDefault="00B671BA" w:rsidP="004B2381"/>
          <w:p w14:paraId="1638B0D3" w14:textId="77777777" w:rsidR="00B671BA" w:rsidRPr="0013010A" w:rsidRDefault="00B671BA" w:rsidP="004B2381"/>
          <w:p w14:paraId="29906BC2" w14:textId="77777777" w:rsidR="00B671BA" w:rsidRPr="0013010A" w:rsidRDefault="00B671BA" w:rsidP="004B2381"/>
          <w:p w14:paraId="47012825" w14:textId="77777777" w:rsidR="00B671BA" w:rsidRPr="0013010A" w:rsidRDefault="00B671BA" w:rsidP="004B2381"/>
          <w:p w14:paraId="1C20ECC2" w14:textId="77777777" w:rsidR="00B671BA" w:rsidRPr="0013010A" w:rsidRDefault="00B671BA" w:rsidP="004B2381"/>
          <w:p w14:paraId="23E5287F" w14:textId="77777777" w:rsidR="00B671BA" w:rsidRPr="0013010A" w:rsidRDefault="00B671BA" w:rsidP="004B2381"/>
          <w:p w14:paraId="646B26F8" w14:textId="77777777" w:rsidR="00B671BA" w:rsidRPr="0013010A" w:rsidRDefault="00B671BA" w:rsidP="004B2381"/>
          <w:p w14:paraId="5EB48094" w14:textId="4F755BD9" w:rsidR="00B671BA" w:rsidRPr="0013010A" w:rsidRDefault="00B671BA" w:rsidP="004B2381">
            <w:r w:rsidRPr="0013010A">
              <w:t>1/19/21</w:t>
            </w:r>
          </w:p>
        </w:tc>
      </w:tr>
      <w:tr w:rsidR="003961EE" w:rsidRPr="00FE3A8D" w14:paraId="75586CAA" w14:textId="77777777" w:rsidTr="00D541F7">
        <w:tc>
          <w:tcPr>
            <w:tcW w:w="355" w:type="dxa"/>
          </w:tcPr>
          <w:p w14:paraId="4C6D0573" w14:textId="77777777" w:rsidR="003961EE" w:rsidRPr="00FE3A8D" w:rsidRDefault="003961EE" w:rsidP="003961EE">
            <w:r w:rsidRPr="00FE3A8D">
              <w:t>3</w:t>
            </w:r>
          </w:p>
        </w:tc>
        <w:tc>
          <w:tcPr>
            <w:tcW w:w="3510" w:type="dxa"/>
          </w:tcPr>
          <w:p w14:paraId="0D76E0B3" w14:textId="77777777" w:rsidR="003961EE" w:rsidRPr="00FE3A8D" w:rsidRDefault="003961EE" w:rsidP="003961EE">
            <w:r w:rsidRPr="00FE3A8D">
              <w:t>Should Payment Delay Exception (PDE) due date be 30 days from the application date or 30 days from the date the Pending reason is entered?</w:t>
            </w:r>
          </w:p>
        </w:tc>
        <w:tc>
          <w:tcPr>
            <w:tcW w:w="8460" w:type="dxa"/>
          </w:tcPr>
          <w:p w14:paraId="2496F74A" w14:textId="0F88ECDA" w:rsidR="003961EE" w:rsidRPr="00FE3A8D" w:rsidRDefault="003961EE" w:rsidP="003961EE">
            <w:r w:rsidRPr="00FE3A8D">
              <w:t xml:space="preserve">Current policy is 30 days from the application date. This will be changed to 30 days from the date the </w:t>
            </w:r>
            <w:r w:rsidR="00760AA7" w:rsidRPr="00FE3A8D">
              <w:t>application is determined eligible for a payment delay</w:t>
            </w:r>
            <w:r w:rsidRPr="00FE3A8D">
              <w:t>. An operations  memo will be issued to document this change</w:t>
            </w:r>
            <w:r w:rsidR="003C4BD3" w:rsidRPr="00FE3A8D">
              <w:t xml:space="preserve">. </w:t>
            </w:r>
            <w:r w:rsidR="00760AA7" w:rsidRPr="00FE3A8D">
              <w:t xml:space="preserve">Until then, it is ok to use the system-generated date which calculates 30 days from when the payment delay is entered. </w:t>
            </w:r>
          </w:p>
        </w:tc>
        <w:tc>
          <w:tcPr>
            <w:tcW w:w="1530" w:type="dxa"/>
          </w:tcPr>
          <w:p w14:paraId="4E999791" w14:textId="77777777" w:rsidR="003961EE" w:rsidRPr="00FE3A8D" w:rsidRDefault="003961EE" w:rsidP="003961EE">
            <w:r w:rsidRPr="00FE3A8D">
              <w:t>1/6/21</w:t>
            </w:r>
          </w:p>
        </w:tc>
      </w:tr>
      <w:tr w:rsidR="003961EE" w:rsidRPr="00FE3A8D" w14:paraId="02AA33C4" w14:textId="77777777" w:rsidTr="00D541F7">
        <w:tc>
          <w:tcPr>
            <w:tcW w:w="355" w:type="dxa"/>
          </w:tcPr>
          <w:p w14:paraId="5C4DB18A" w14:textId="77777777" w:rsidR="003961EE" w:rsidRPr="00FE3A8D" w:rsidRDefault="003961EE" w:rsidP="003961EE">
            <w:r w:rsidRPr="00FE3A8D">
              <w:t>4</w:t>
            </w:r>
          </w:p>
        </w:tc>
        <w:tc>
          <w:tcPr>
            <w:tcW w:w="3510" w:type="dxa"/>
          </w:tcPr>
          <w:p w14:paraId="2BA0D7AC" w14:textId="77777777" w:rsidR="003961EE" w:rsidRPr="00FE3A8D" w:rsidRDefault="003961EE" w:rsidP="003961EE">
            <w:r w:rsidRPr="00FE3A8D">
              <w:t>When entering W-2 income in WWP, do we enter what was received in the last 30 days according to the W-2 payment screen or enter $608 or $653 according to W-2 placement screen?</w:t>
            </w:r>
          </w:p>
        </w:tc>
        <w:tc>
          <w:tcPr>
            <w:tcW w:w="8460" w:type="dxa"/>
          </w:tcPr>
          <w:p w14:paraId="547EA179" w14:textId="6CBDC152" w:rsidR="003961EE" w:rsidRPr="00FE3A8D" w:rsidRDefault="003C2C48" w:rsidP="003961EE">
            <w:r w:rsidRPr="00FE3A8D">
              <w:t>W-2 placement income is disregarded and shouldn’t be entered into WWP.</w:t>
            </w:r>
          </w:p>
        </w:tc>
        <w:tc>
          <w:tcPr>
            <w:tcW w:w="1530" w:type="dxa"/>
          </w:tcPr>
          <w:p w14:paraId="19057D72" w14:textId="46AE4F04" w:rsidR="003961EE" w:rsidRPr="00FE3A8D" w:rsidRDefault="003961EE" w:rsidP="003961EE">
            <w:r w:rsidRPr="00FE3A8D">
              <w:t>1/</w:t>
            </w:r>
            <w:r w:rsidR="003C2C48" w:rsidRPr="00FE3A8D">
              <w:t>7</w:t>
            </w:r>
            <w:r w:rsidRPr="00FE3A8D">
              <w:t>/21</w:t>
            </w:r>
          </w:p>
        </w:tc>
      </w:tr>
      <w:tr w:rsidR="006C59C0" w:rsidRPr="00FE3A8D" w14:paraId="4FA57036" w14:textId="77777777" w:rsidTr="00D541F7">
        <w:tc>
          <w:tcPr>
            <w:tcW w:w="355" w:type="dxa"/>
          </w:tcPr>
          <w:p w14:paraId="5290AA72" w14:textId="0C239453" w:rsidR="006C59C0" w:rsidRPr="00FE3A8D" w:rsidRDefault="006C59C0" w:rsidP="003961EE">
            <w:r w:rsidRPr="00FE3A8D">
              <w:t>5</w:t>
            </w:r>
          </w:p>
        </w:tc>
        <w:tc>
          <w:tcPr>
            <w:tcW w:w="3510" w:type="dxa"/>
          </w:tcPr>
          <w:p w14:paraId="12E7C556" w14:textId="566C67C5" w:rsidR="006C59C0" w:rsidRPr="00FE3A8D" w:rsidRDefault="006C59C0" w:rsidP="003961EE">
            <w:r w:rsidRPr="00FE3A8D">
              <w:t xml:space="preserve">Are agencies required to complete WWP EA fields for completed applications that blanked out during </w:t>
            </w:r>
            <w:r w:rsidRPr="00FE3A8D">
              <w:lastRenderedPageBreak/>
              <w:t>conversion such as dependent children?</w:t>
            </w:r>
          </w:p>
        </w:tc>
        <w:tc>
          <w:tcPr>
            <w:tcW w:w="8460" w:type="dxa"/>
          </w:tcPr>
          <w:p w14:paraId="608A39A0" w14:textId="49343D05" w:rsidR="006C59C0" w:rsidRPr="00FE3A8D" w:rsidRDefault="006C59C0" w:rsidP="003961EE">
            <w:r w:rsidRPr="00FE3A8D">
              <w:lastRenderedPageBreak/>
              <w:t>No. If this information is ever needed, it can be found on the application in ECF.</w:t>
            </w:r>
          </w:p>
        </w:tc>
        <w:tc>
          <w:tcPr>
            <w:tcW w:w="1530" w:type="dxa"/>
          </w:tcPr>
          <w:p w14:paraId="31D1909C" w14:textId="61522424" w:rsidR="006C59C0" w:rsidRPr="00FE3A8D" w:rsidRDefault="00EC2D4C" w:rsidP="003961EE">
            <w:r w:rsidRPr="00FE3A8D">
              <w:t>1/7/21</w:t>
            </w:r>
          </w:p>
        </w:tc>
      </w:tr>
      <w:tr w:rsidR="006C59C0" w:rsidRPr="00FE3A8D" w14:paraId="4F29A81F" w14:textId="77777777" w:rsidTr="00D541F7">
        <w:tc>
          <w:tcPr>
            <w:tcW w:w="355" w:type="dxa"/>
          </w:tcPr>
          <w:p w14:paraId="18CEA2A8" w14:textId="4BFDED52" w:rsidR="006C59C0" w:rsidRPr="00FE3A8D" w:rsidRDefault="006C59C0" w:rsidP="003961EE">
            <w:r w:rsidRPr="00FE3A8D">
              <w:t>6</w:t>
            </w:r>
          </w:p>
        </w:tc>
        <w:tc>
          <w:tcPr>
            <w:tcW w:w="3510" w:type="dxa"/>
          </w:tcPr>
          <w:p w14:paraId="4A42D51B" w14:textId="0C4D732A" w:rsidR="006C59C0" w:rsidRPr="00FE3A8D" w:rsidRDefault="006C59C0" w:rsidP="003961EE">
            <w:r w:rsidRPr="00FE3A8D">
              <w:t>Are agencies required to enter information into WWP not related to the denial reason but that the applica</w:t>
            </w:r>
            <w:r w:rsidR="00CE6BE3" w:rsidRPr="00FE3A8D">
              <w:t>nt</w:t>
            </w:r>
            <w:r w:rsidRPr="00FE3A8D">
              <w:t xml:space="preserve"> provided on the application. For example, an applicant with no dependents </w:t>
            </w:r>
            <w:r w:rsidR="00EC2D4C" w:rsidRPr="00FE3A8D">
              <w:t xml:space="preserve">lists landlord information. Are we required to </w:t>
            </w:r>
            <w:r w:rsidR="00074A23" w:rsidRPr="00FE3A8D">
              <w:t>enter</w:t>
            </w:r>
            <w:r w:rsidR="00EC2D4C" w:rsidRPr="00FE3A8D">
              <w:t xml:space="preserve"> the landlord information into WWP?</w:t>
            </w:r>
          </w:p>
        </w:tc>
        <w:tc>
          <w:tcPr>
            <w:tcW w:w="8460" w:type="dxa"/>
          </w:tcPr>
          <w:p w14:paraId="00F650FE" w14:textId="0E0DDE21" w:rsidR="006C59C0" w:rsidRPr="00FE3A8D" w:rsidRDefault="00CE6BE3">
            <w:r w:rsidRPr="00FE3A8D">
              <w:t>TBD. We will take this back for further discussion. As of now, we would expect all information provided by the applicant to be entered into WWP</w:t>
            </w:r>
            <w:r w:rsidR="00683D01" w:rsidRPr="00FE3A8D">
              <w:t xml:space="preserve"> (either via paper application or through the interview process)</w:t>
            </w:r>
            <w:r w:rsidRPr="00FE3A8D">
              <w:t xml:space="preserve">. </w:t>
            </w:r>
          </w:p>
        </w:tc>
        <w:tc>
          <w:tcPr>
            <w:tcW w:w="1530" w:type="dxa"/>
          </w:tcPr>
          <w:p w14:paraId="048DCE22" w14:textId="1BE73776" w:rsidR="006C59C0" w:rsidRPr="00FE3A8D" w:rsidRDefault="00EC2D4C" w:rsidP="003961EE">
            <w:r w:rsidRPr="00FE3A8D">
              <w:t>1/7/21</w:t>
            </w:r>
          </w:p>
        </w:tc>
      </w:tr>
      <w:tr w:rsidR="00CC03DA" w:rsidRPr="00FE3A8D" w14:paraId="1C81B6C2" w14:textId="77777777" w:rsidTr="00D541F7">
        <w:tc>
          <w:tcPr>
            <w:tcW w:w="355" w:type="dxa"/>
          </w:tcPr>
          <w:p w14:paraId="73959472" w14:textId="29894B69" w:rsidR="00CC03DA" w:rsidRPr="00F80EC2" w:rsidRDefault="006226CC" w:rsidP="003961EE">
            <w:r w:rsidRPr="00F80EC2">
              <w:t>7</w:t>
            </w:r>
          </w:p>
        </w:tc>
        <w:tc>
          <w:tcPr>
            <w:tcW w:w="3510" w:type="dxa"/>
          </w:tcPr>
          <w:p w14:paraId="2FF79A7D" w14:textId="5B08B2EF" w:rsidR="00CC03DA" w:rsidRPr="00F80EC2" w:rsidRDefault="006226CC" w:rsidP="008553F1">
            <w:pPr>
              <w:pStyle w:val="ListParagraph"/>
              <w:numPr>
                <w:ilvl w:val="0"/>
                <w:numId w:val="5"/>
              </w:numPr>
            </w:pPr>
            <w:r w:rsidRPr="00F80EC2">
              <w:t>Is it okay to enter a zero asset balance when a negative balance exists, for example on overdrawn accounts?</w:t>
            </w:r>
          </w:p>
          <w:p w14:paraId="4C6CCE3A" w14:textId="1C0BF69C" w:rsidR="008553F1" w:rsidRPr="00F80EC2" w:rsidRDefault="008553F1" w:rsidP="008553F1">
            <w:pPr>
              <w:pStyle w:val="ListParagraph"/>
              <w:numPr>
                <w:ilvl w:val="0"/>
                <w:numId w:val="5"/>
              </w:numPr>
            </w:pPr>
            <w:r w:rsidRPr="00F80EC2">
              <w:t xml:space="preserve">Follow-up question: Can a negative asset balance be used to offset an asset with a positive value?  This </w:t>
            </w:r>
            <w:r w:rsidR="00B12443" w:rsidRPr="00F80EC2">
              <w:t xml:space="preserve">was </w:t>
            </w:r>
            <w:r w:rsidRPr="00F80EC2">
              <w:t>practice for some agencies prior to EA moving to WWP.</w:t>
            </w:r>
          </w:p>
        </w:tc>
        <w:tc>
          <w:tcPr>
            <w:tcW w:w="8460" w:type="dxa"/>
          </w:tcPr>
          <w:p w14:paraId="63E04229" w14:textId="77777777" w:rsidR="00CC03DA" w:rsidRPr="00F80EC2" w:rsidRDefault="006226CC" w:rsidP="008553F1">
            <w:pPr>
              <w:pStyle w:val="ListParagraph"/>
              <w:numPr>
                <w:ilvl w:val="0"/>
                <w:numId w:val="6"/>
              </w:numPr>
            </w:pPr>
            <w:r w:rsidRPr="00F80EC2">
              <w:t>Yes</w:t>
            </w:r>
          </w:p>
          <w:p w14:paraId="00EB95C4" w14:textId="77777777" w:rsidR="008553F1" w:rsidRPr="00F80EC2" w:rsidRDefault="008553F1" w:rsidP="008553F1"/>
          <w:p w14:paraId="0B6A50FD" w14:textId="77777777" w:rsidR="008553F1" w:rsidRPr="00F80EC2" w:rsidRDefault="008553F1" w:rsidP="008553F1"/>
          <w:p w14:paraId="23022464" w14:textId="77777777" w:rsidR="008553F1" w:rsidRPr="00F80EC2" w:rsidRDefault="008553F1" w:rsidP="008553F1"/>
          <w:p w14:paraId="7E0EE0A6" w14:textId="77777777" w:rsidR="008553F1" w:rsidRPr="00F80EC2" w:rsidRDefault="008553F1" w:rsidP="008553F1"/>
          <w:p w14:paraId="053067CF" w14:textId="6C929C29" w:rsidR="008553F1" w:rsidRPr="00F80EC2" w:rsidRDefault="00585119" w:rsidP="008553F1">
            <w:pPr>
              <w:pStyle w:val="ListParagraph"/>
              <w:numPr>
                <w:ilvl w:val="0"/>
                <w:numId w:val="6"/>
              </w:numPr>
            </w:pPr>
            <w:r w:rsidRPr="00F80EC2">
              <w:t>No</w:t>
            </w:r>
          </w:p>
        </w:tc>
        <w:tc>
          <w:tcPr>
            <w:tcW w:w="1530" w:type="dxa"/>
          </w:tcPr>
          <w:p w14:paraId="351EAD76" w14:textId="361EDEA3" w:rsidR="00CC03DA" w:rsidRPr="00F80EC2" w:rsidRDefault="008553F1" w:rsidP="003961EE">
            <w:r w:rsidRPr="00F80EC2">
              <w:t>1/11/21</w:t>
            </w:r>
          </w:p>
          <w:p w14:paraId="6963E3C3" w14:textId="77777777" w:rsidR="008553F1" w:rsidRPr="00F80EC2" w:rsidRDefault="008553F1" w:rsidP="003961EE"/>
          <w:p w14:paraId="173BBA8D" w14:textId="77777777" w:rsidR="008553F1" w:rsidRPr="00F80EC2" w:rsidRDefault="008553F1" w:rsidP="003961EE"/>
          <w:p w14:paraId="1BFD8637" w14:textId="77777777" w:rsidR="008553F1" w:rsidRPr="00F80EC2" w:rsidRDefault="008553F1" w:rsidP="003961EE"/>
          <w:p w14:paraId="2DAFDAD9" w14:textId="77777777" w:rsidR="008553F1" w:rsidRPr="00F80EC2" w:rsidRDefault="008553F1" w:rsidP="003961EE"/>
          <w:p w14:paraId="0FEA648A" w14:textId="77777777" w:rsidR="008553F1" w:rsidRPr="00F80EC2" w:rsidRDefault="008553F1" w:rsidP="003961EE"/>
          <w:p w14:paraId="2D0B106B" w14:textId="21156C26" w:rsidR="008553F1" w:rsidRPr="00F80EC2" w:rsidRDefault="008553F1" w:rsidP="003961EE">
            <w:r w:rsidRPr="00F80EC2">
              <w:t>1/1</w:t>
            </w:r>
            <w:r w:rsidR="00585119" w:rsidRPr="00F80EC2">
              <w:t>3</w:t>
            </w:r>
            <w:r w:rsidRPr="00F80EC2">
              <w:t>/21</w:t>
            </w:r>
          </w:p>
        </w:tc>
      </w:tr>
    </w:tbl>
    <w:p w14:paraId="5690A644" w14:textId="3E1BCB7B" w:rsidR="006B3648" w:rsidRPr="00FE3A8D" w:rsidRDefault="006B3648"/>
    <w:p w14:paraId="4B59F6D0" w14:textId="77777777" w:rsidR="00704B1D" w:rsidRPr="00FE3A8D" w:rsidRDefault="00704B1D"/>
    <w:tbl>
      <w:tblPr>
        <w:tblStyle w:val="TableGrid"/>
        <w:tblW w:w="13945" w:type="dxa"/>
        <w:tblLook w:val="04A0" w:firstRow="1" w:lastRow="0" w:firstColumn="1" w:lastColumn="0" w:noHBand="0" w:noVBand="1"/>
      </w:tblPr>
      <w:tblGrid>
        <w:gridCol w:w="355"/>
        <w:gridCol w:w="4050"/>
        <w:gridCol w:w="7920"/>
        <w:gridCol w:w="1620"/>
      </w:tblGrid>
      <w:tr w:rsidR="006B3648" w:rsidRPr="00FE3A8D" w14:paraId="4BFCF991" w14:textId="77777777" w:rsidTr="00A7324E">
        <w:tc>
          <w:tcPr>
            <w:tcW w:w="355" w:type="dxa"/>
          </w:tcPr>
          <w:p w14:paraId="0647642A" w14:textId="77777777" w:rsidR="006B3648" w:rsidRPr="00FE3A8D" w:rsidRDefault="006B3648" w:rsidP="004B2381">
            <w:pPr>
              <w:rPr>
                <w:b/>
                <w:bCs/>
              </w:rPr>
            </w:pPr>
            <w:r w:rsidRPr="00FE3A8D">
              <w:rPr>
                <w:b/>
                <w:bCs/>
              </w:rPr>
              <w:t>#</w:t>
            </w:r>
          </w:p>
        </w:tc>
        <w:tc>
          <w:tcPr>
            <w:tcW w:w="4050" w:type="dxa"/>
          </w:tcPr>
          <w:p w14:paraId="7BDA411F" w14:textId="77777777" w:rsidR="006B3648" w:rsidRPr="00FE3A8D" w:rsidRDefault="006B3648" w:rsidP="004B2381">
            <w:pPr>
              <w:rPr>
                <w:b/>
                <w:bCs/>
              </w:rPr>
            </w:pPr>
            <w:r w:rsidRPr="00FE3A8D">
              <w:rPr>
                <w:b/>
                <w:bCs/>
              </w:rPr>
              <w:t>System Question</w:t>
            </w:r>
          </w:p>
        </w:tc>
        <w:tc>
          <w:tcPr>
            <w:tcW w:w="7920" w:type="dxa"/>
          </w:tcPr>
          <w:p w14:paraId="7F01465B" w14:textId="77777777" w:rsidR="006B3648" w:rsidRPr="00FE3A8D" w:rsidRDefault="006B3648" w:rsidP="004B2381">
            <w:pPr>
              <w:rPr>
                <w:b/>
                <w:bCs/>
              </w:rPr>
            </w:pPr>
            <w:r w:rsidRPr="00FE3A8D">
              <w:rPr>
                <w:b/>
                <w:bCs/>
              </w:rPr>
              <w:t>Response/Status</w:t>
            </w:r>
          </w:p>
        </w:tc>
        <w:tc>
          <w:tcPr>
            <w:tcW w:w="1620" w:type="dxa"/>
          </w:tcPr>
          <w:p w14:paraId="6EF51A40" w14:textId="77777777" w:rsidR="006B3648" w:rsidRPr="00FE3A8D" w:rsidRDefault="006B3648" w:rsidP="004B2381">
            <w:pPr>
              <w:rPr>
                <w:b/>
                <w:bCs/>
              </w:rPr>
            </w:pPr>
            <w:r w:rsidRPr="00FE3A8D">
              <w:rPr>
                <w:b/>
                <w:bCs/>
              </w:rPr>
              <w:t>Last Updated</w:t>
            </w:r>
          </w:p>
        </w:tc>
      </w:tr>
      <w:tr w:rsidR="006B3648" w:rsidRPr="00FE3A8D" w14:paraId="7C585498" w14:textId="77777777" w:rsidTr="00A7324E">
        <w:tc>
          <w:tcPr>
            <w:tcW w:w="355" w:type="dxa"/>
          </w:tcPr>
          <w:p w14:paraId="42FF144E" w14:textId="77777777" w:rsidR="006B3648" w:rsidRPr="00FE3A8D" w:rsidRDefault="006B3648" w:rsidP="004B2381">
            <w:r w:rsidRPr="00FE3A8D">
              <w:t>1</w:t>
            </w:r>
          </w:p>
        </w:tc>
        <w:tc>
          <w:tcPr>
            <w:tcW w:w="4050" w:type="dxa"/>
          </w:tcPr>
          <w:p w14:paraId="4EBACC00" w14:textId="77777777" w:rsidR="006B3648" w:rsidRPr="00FE3A8D" w:rsidRDefault="00A7324E" w:rsidP="004B2381">
            <w:r w:rsidRPr="00FE3A8D">
              <w:t>Can EA automated notices be viewed in ECF?</w:t>
            </w:r>
          </w:p>
        </w:tc>
        <w:tc>
          <w:tcPr>
            <w:tcW w:w="7920" w:type="dxa"/>
          </w:tcPr>
          <w:p w14:paraId="6F3109C4" w14:textId="1AC367D0" w:rsidR="006B3648" w:rsidRPr="00FE3A8D" w:rsidRDefault="00A7324E" w:rsidP="004B2381">
            <w:r w:rsidRPr="00FE3A8D">
              <w:t>No. The automated notices can only be viewed in CWW Correspondence History using a PIN search. ECF doesn’t support PIN-based documents.</w:t>
            </w:r>
            <w:r w:rsidR="008C5E3F" w:rsidRPr="00FE3A8D">
              <w:t xml:space="preserve"> The notice does not have to be separately scanned in ECF. See EA Policy Manual section </w:t>
            </w:r>
            <w:hyperlink r:id="rId8" w:history="1">
              <w:r w:rsidR="008C5E3F" w:rsidRPr="00FE3A8D">
                <w:rPr>
                  <w:rStyle w:val="Hyperlink"/>
                </w:rPr>
                <w:t>4.4.3</w:t>
              </w:r>
            </w:hyperlink>
            <w:r w:rsidR="008C5E3F" w:rsidRPr="00FE3A8D">
              <w:t xml:space="preserve">. </w:t>
            </w:r>
          </w:p>
        </w:tc>
        <w:tc>
          <w:tcPr>
            <w:tcW w:w="1620" w:type="dxa"/>
          </w:tcPr>
          <w:p w14:paraId="4750A860" w14:textId="77777777" w:rsidR="006B3648" w:rsidRPr="00FE3A8D" w:rsidRDefault="006B3648" w:rsidP="004B2381">
            <w:r w:rsidRPr="00FE3A8D">
              <w:t>1/</w:t>
            </w:r>
            <w:r w:rsidR="00A7324E" w:rsidRPr="00FE3A8D">
              <w:t>5</w:t>
            </w:r>
            <w:r w:rsidRPr="00FE3A8D">
              <w:t>/21</w:t>
            </w:r>
          </w:p>
        </w:tc>
      </w:tr>
      <w:tr w:rsidR="006B3648" w14:paraId="7433FEFE" w14:textId="77777777" w:rsidTr="00A7324E">
        <w:tc>
          <w:tcPr>
            <w:tcW w:w="355" w:type="dxa"/>
          </w:tcPr>
          <w:p w14:paraId="63B256BC" w14:textId="77777777" w:rsidR="006B3648" w:rsidRPr="00575153" w:rsidRDefault="006B3648" w:rsidP="004B2381">
            <w:r w:rsidRPr="00575153">
              <w:t>2</w:t>
            </w:r>
          </w:p>
        </w:tc>
        <w:tc>
          <w:tcPr>
            <w:tcW w:w="4050" w:type="dxa"/>
          </w:tcPr>
          <w:p w14:paraId="4BB64C87" w14:textId="77777777" w:rsidR="006B3648" w:rsidRPr="00575153" w:rsidRDefault="00086896" w:rsidP="004B2381">
            <w:r w:rsidRPr="00575153">
              <w:t>Can agencies view details of applications processed by a different agency?</w:t>
            </w:r>
          </w:p>
        </w:tc>
        <w:tc>
          <w:tcPr>
            <w:tcW w:w="7920" w:type="dxa"/>
          </w:tcPr>
          <w:p w14:paraId="45F9D037" w14:textId="6909CB89" w:rsidR="007E1A04" w:rsidRPr="00575153" w:rsidRDefault="00086896" w:rsidP="007E1A04">
            <w:r w:rsidRPr="00575153">
              <w:t xml:space="preserve">No. However, all EATS history including comments is available in </w:t>
            </w:r>
            <w:r w:rsidR="007E1A04" w:rsidRPr="00575153">
              <w:t xml:space="preserve">A report called </w:t>
            </w:r>
            <w:r w:rsidR="007E1A04" w:rsidRPr="00575153">
              <w:rPr>
                <w:b/>
                <w:bCs/>
              </w:rPr>
              <w:t>EA Report 15: Individual Application History Report</w:t>
            </w:r>
            <w:r w:rsidR="007E1A04" w:rsidRPr="00575153">
              <w:t xml:space="preserve"> is located in the following WEBI folder path:</w:t>
            </w:r>
            <w:r w:rsidR="00C85DCF" w:rsidRPr="00575153">
              <w:t xml:space="preserve"> </w:t>
            </w:r>
            <w:r w:rsidR="007E1A04" w:rsidRPr="00575153">
              <w:rPr>
                <w:i/>
                <w:iCs/>
              </w:rPr>
              <w:t xml:space="preserve">DCF / WISDOM / Employment Programs / Emergency Assistance / </w:t>
            </w:r>
            <w:r w:rsidR="007E1A04" w:rsidRPr="00575153">
              <w:rPr>
                <w:b/>
                <w:bCs/>
                <w:i/>
                <w:iCs/>
              </w:rPr>
              <w:t>EA Report 15: Individual Application History Report</w:t>
            </w:r>
          </w:p>
          <w:p w14:paraId="2BA2B5E7" w14:textId="1BB5977D" w:rsidR="006B3648" w:rsidRPr="00575153" w:rsidRDefault="006B3648" w:rsidP="004B2381"/>
        </w:tc>
        <w:tc>
          <w:tcPr>
            <w:tcW w:w="1620" w:type="dxa"/>
          </w:tcPr>
          <w:p w14:paraId="1C29371C" w14:textId="77777777" w:rsidR="006B3648" w:rsidRPr="00575153" w:rsidRDefault="006B3648" w:rsidP="004B2381">
            <w:r w:rsidRPr="00575153">
              <w:t>1/6/21</w:t>
            </w:r>
          </w:p>
        </w:tc>
      </w:tr>
      <w:tr w:rsidR="00223D8E" w14:paraId="7B8FBB09" w14:textId="77777777" w:rsidTr="00A7324E">
        <w:tc>
          <w:tcPr>
            <w:tcW w:w="355" w:type="dxa"/>
          </w:tcPr>
          <w:p w14:paraId="32797909" w14:textId="540754C2" w:rsidR="00223D8E" w:rsidRPr="00575153" w:rsidRDefault="00223D8E" w:rsidP="004B2381">
            <w:r w:rsidRPr="00575153">
              <w:t>3</w:t>
            </w:r>
          </w:p>
        </w:tc>
        <w:tc>
          <w:tcPr>
            <w:tcW w:w="4050" w:type="dxa"/>
          </w:tcPr>
          <w:p w14:paraId="7925130D" w14:textId="2D248D37" w:rsidR="00223D8E" w:rsidRPr="00575153" w:rsidRDefault="00223D8E" w:rsidP="004B2381">
            <w:r w:rsidRPr="00575153">
              <w:t>Who can update the application date?</w:t>
            </w:r>
          </w:p>
        </w:tc>
        <w:tc>
          <w:tcPr>
            <w:tcW w:w="7920" w:type="dxa"/>
          </w:tcPr>
          <w:p w14:paraId="05D32438" w14:textId="001139E9" w:rsidR="00223D8E" w:rsidRPr="00575153" w:rsidRDefault="00223D8E" w:rsidP="00223D8E">
            <w:r w:rsidRPr="00575153">
              <w:t xml:space="preserve">Once an application is completed  (Application Status is Pending, Approved, Denied, or Withdrawn), someone with the EA supervisor role can edit all fields except the </w:t>
            </w:r>
            <w:r w:rsidRPr="00575153">
              <w:lastRenderedPageBreak/>
              <w:t>application date. The application date can only be edited when the application is in In-Progress status, and both the EA worker and supervisor roles can make this edit.</w:t>
            </w:r>
          </w:p>
          <w:p w14:paraId="1E58D030" w14:textId="77777777" w:rsidR="00223D8E" w:rsidRPr="00575153" w:rsidRDefault="00223D8E" w:rsidP="007E1A04"/>
        </w:tc>
        <w:tc>
          <w:tcPr>
            <w:tcW w:w="1620" w:type="dxa"/>
          </w:tcPr>
          <w:p w14:paraId="50377BA8" w14:textId="51A7166C" w:rsidR="00223D8E" w:rsidRPr="00575153" w:rsidRDefault="00223D8E" w:rsidP="004B2381">
            <w:r w:rsidRPr="00575153">
              <w:lastRenderedPageBreak/>
              <w:t>1/11/21</w:t>
            </w:r>
          </w:p>
        </w:tc>
      </w:tr>
    </w:tbl>
    <w:p w14:paraId="09CA3D9A" w14:textId="77777777" w:rsidR="006B3648" w:rsidRPr="005B1337" w:rsidRDefault="006B3648"/>
    <w:sectPr w:rsidR="006B3648" w:rsidRPr="005B1337" w:rsidSect="00D541F7">
      <w:footerReference w:type="default" r:id="rId9"/>
      <w:pgSz w:w="15840" w:h="12240" w:orient="landscape"/>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0F4F5A" w14:textId="77777777" w:rsidR="00A35548" w:rsidRDefault="00A35548" w:rsidP="005B1337">
      <w:pPr>
        <w:spacing w:after="0" w:line="240" w:lineRule="auto"/>
      </w:pPr>
      <w:r>
        <w:separator/>
      </w:r>
    </w:p>
  </w:endnote>
  <w:endnote w:type="continuationSeparator" w:id="0">
    <w:p w14:paraId="539CBB94" w14:textId="77777777" w:rsidR="00A35548" w:rsidRDefault="00A35548" w:rsidP="005B1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4584303"/>
      <w:docPartObj>
        <w:docPartGallery w:val="Page Numbers (Bottom of Page)"/>
        <w:docPartUnique/>
      </w:docPartObj>
    </w:sdtPr>
    <w:sdtEndPr>
      <w:rPr>
        <w:noProof/>
      </w:rPr>
    </w:sdtEndPr>
    <w:sdtContent>
      <w:p w14:paraId="25CDB4FB" w14:textId="4CDBC741" w:rsidR="00BF254B" w:rsidRDefault="00BF254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0BDDAF" w14:textId="77777777" w:rsidR="005B1337" w:rsidRDefault="005B13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588348" w14:textId="77777777" w:rsidR="00A35548" w:rsidRDefault="00A35548" w:rsidP="005B1337">
      <w:pPr>
        <w:spacing w:after="0" w:line="240" w:lineRule="auto"/>
      </w:pPr>
      <w:r>
        <w:separator/>
      </w:r>
    </w:p>
  </w:footnote>
  <w:footnote w:type="continuationSeparator" w:id="0">
    <w:p w14:paraId="33C5BA09" w14:textId="77777777" w:rsidR="00A35548" w:rsidRDefault="00A35548" w:rsidP="005B13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682585"/>
    <w:multiLevelType w:val="hybridMultilevel"/>
    <w:tmpl w:val="A502DA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1A69DB"/>
    <w:multiLevelType w:val="hybridMultilevel"/>
    <w:tmpl w:val="010C99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583D06"/>
    <w:multiLevelType w:val="hybridMultilevel"/>
    <w:tmpl w:val="FF6C6E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7C1D1C"/>
    <w:multiLevelType w:val="hybridMultilevel"/>
    <w:tmpl w:val="A43AF4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DF3D83"/>
    <w:multiLevelType w:val="hybridMultilevel"/>
    <w:tmpl w:val="A43AF4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F7762E"/>
    <w:multiLevelType w:val="hybridMultilevel"/>
    <w:tmpl w:val="D0EA34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C469A8"/>
    <w:multiLevelType w:val="hybridMultilevel"/>
    <w:tmpl w:val="701434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C120C9"/>
    <w:multiLevelType w:val="hybridMultilevel"/>
    <w:tmpl w:val="71B6DC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3"/>
  </w:num>
  <w:num w:numId="4">
    <w:abstractNumId w:val="5"/>
  </w:num>
  <w:num w:numId="5">
    <w:abstractNumId w:val="6"/>
  </w:num>
  <w:num w:numId="6">
    <w:abstractNumId w:val="2"/>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337"/>
    <w:rsid w:val="0003535F"/>
    <w:rsid w:val="00051BFF"/>
    <w:rsid w:val="00064DB4"/>
    <w:rsid w:val="00074A23"/>
    <w:rsid w:val="00086896"/>
    <w:rsid w:val="000A169B"/>
    <w:rsid w:val="000D1DF4"/>
    <w:rsid w:val="0013010A"/>
    <w:rsid w:val="00161B43"/>
    <w:rsid w:val="001C23BC"/>
    <w:rsid w:val="001D4408"/>
    <w:rsid w:val="001F5058"/>
    <w:rsid w:val="00223D8E"/>
    <w:rsid w:val="002B62FE"/>
    <w:rsid w:val="00301291"/>
    <w:rsid w:val="0037108B"/>
    <w:rsid w:val="003961EE"/>
    <w:rsid w:val="003C2C48"/>
    <w:rsid w:val="003C4BD3"/>
    <w:rsid w:val="003E2217"/>
    <w:rsid w:val="00441AB4"/>
    <w:rsid w:val="00482EE0"/>
    <w:rsid w:val="00491FEE"/>
    <w:rsid w:val="004B54EE"/>
    <w:rsid w:val="004F4075"/>
    <w:rsid w:val="0050225E"/>
    <w:rsid w:val="005307EE"/>
    <w:rsid w:val="0057137B"/>
    <w:rsid w:val="00575153"/>
    <w:rsid w:val="00585119"/>
    <w:rsid w:val="005B1337"/>
    <w:rsid w:val="005D2AF4"/>
    <w:rsid w:val="00600E9E"/>
    <w:rsid w:val="006226CC"/>
    <w:rsid w:val="00633B16"/>
    <w:rsid w:val="00666A1F"/>
    <w:rsid w:val="00683D01"/>
    <w:rsid w:val="0069666F"/>
    <w:rsid w:val="0069691E"/>
    <w:rsid w:val="006A77DA"/>
    <w:rsid w:val="006B3648"/>
    <w:rsid w:val="006B3E0A"/>
    <w:rsid w:val="006C59C0"/>
    <w:rsid w:val="006D118F"/>
    <w:rsid w:val="006E33D8"/>
    <w:rsid w:val="006E757A"/>
    <w:rsid w:val="006F4934"/>
    <w:rsid w:val="00704B1D"/>
    <w:rsid w:val="00720763"/>
    <w:rsid w:val="00745357"/>
    <w:rsid w:val="00760AA7"/>
    <w:rsid w:val="007A3221"/>
    <w:rsid w:val="007E1A04"/>
    <w:rsid w:val="008553F1"/>
    <w:rsid w:val="008632C1"/>
    <w:rsid w:val="00881327"/>
    <w:rsid w:val="00892813"/>
    <w:rsid w:val="008C5E3F"/>
    <w:rsid w:val="008D1446"/>
    <w:rsid w:val="00906E58"/>
    <w:rsid w:val="00926E0D"/>
    <w:rsid w:val="00984ABF"/>
    <w:rsid w:val="0098656D"/>
    <w:rsid w:val="00A13724"/>
    <w:rsid w:val="00A21CA2"/>
    <w:rsid w:val="00A23CC8"/>
    <w:rsid w:val="00A35548"/>
    <w:rsid w:val="00A56BAF"/>
    <w:rsid w:val="00A7324E"/>
    <w:rsid w:val="00A85487"/>
    <w:rsid w:val="00AE7038"/>
    <w:rsid w:val="00AF49DB"/>
    <w:rsid w:val="00B07092"/>
    <w:rsid w:val="00B12443"/>
    <w:rsid w:val="00B671BA"/>
    <w:rsid w:val="00B71C39"/>
    <w:rsid w:val="00B97239"/>
    <w:rsid w:val="00BB4CEC"/>
    <w:rsid w:val="00BE2C3A"/>
    <w:rsid w:val="00BF254B"/>
    <w:rsid w:val="00C04CA5"/>
    <w:rsid w:val="00C16EC2"/>
    <w:rsid w:val="00C31E15"/>
    <w:rsid w:val="00C3305C"/>
    <w:rsid w:val="00C7688F"/>
    <w:rsid w:val="00C85DCF"/>
    <w:rsid w:val="00C959EA"/>
    <w:rsid w:val="00CC03DA"/>
    <w:rsid w:val="00CE650B"/>
    <w:rsid w:val="00CE6BE3"/>
    <w:rsid w:val="00CF3E1D"/>
    <w:rsid w:val="00D12D35"/>
    <w:rsid w:val="00D541F7"/>
    <w:rsid w:val="00D830C7"/>
    <w:rsid w:val="00DD087D"/>
    <w:rsid w:val="00DF3234"/>
    <w:rsid w:val="00DF699F"/>
    <w:rsid w:val="00E12F0D"/>
    <w:rsid w:val="00E76028"/>
    <w:rsid w:val="00E80B17"/>
    <w:rsid w:val="00E8645B"/>
    <w:rsid w:val="00E92F21"/>
    <w:rsid w:val="00E94025"/>
    <w:rsid w:val="00EB4C4E"/>
    <w:rsid w:val="00EB7655"/>
    <w:rsid w:val="00EC2D4C"/>
    <w:rsid w:val="00EC6281"/>
    <w:rsid w:val="00EF34C4"/>
    <w:rsid w:val="00F05241"/>
    <w:rsid w:val="00F06A93"/>
    <w:rsid w:val="00F11F9E"/>
    <w:rsid w:val="00F14B67"/>
    <w:rsid w:val="00F20394"/>
    <w:rsid w:val="00F4610A"/>
    <w:rsid w:val="00F56CF2"/>
    <w:rsid w:val="00F6600A"/>
    <w:rsid w:val="00F80EC2"/>
    <w:rsid w:val="00F852C3"/>
    <w:rsid w:val="00F8704F"/>
    <w:rsid w:val="00FD03ED"/>
    <w:rsid w:val="00FE3A8D"/>
    <w:rsid w:val="00FE4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2E368"/>
  <w15:chartTrackingRefBased/>
  <w15:docId w15:val="{E9762761-D63C-49E1-9D70-A99BD60CC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13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1337"/>
  </w:style>
  <w:style w:type="paragraph" w:styleId="Footer">
    <w:name w:val="footer"/>
    <w:basedOn w:val="Normal"/>
    <w:link w:val="FooterChar"/>
    <w:uiPriority w:val="99"/>
    <w:unhideWhenUsed/>
    <w:rsid w:val="005B13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1337"/>
  </w:style>
  <w:style w:type="table" w:styleId="TableGrid">
    <w:name w:val="Table Grid"/>
    <w:basedOn w:val="TableNormal"/>
    <w:uiPriority w:val="39"/>
    <w:rsid w:val="001C23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26E0D"/>
    <w:rPr>
      <w:sz w:val="16"/>
      <w:szCs w:val="16"/>
    </w:rPr>
  </w:style>
  <w:style w:type="paragraph" w:styleId="CommentText">
    <w:name w:val="annotation text"/>
    <w:basedOn w:val="Normal"/>
    <w:link w:val="CommentTextChar"/>
    <w:uiPriority w:val="99"/>
    <w:semiHidden/>
    <w:unhideWhenUsed/>
    <w:rsid w:val="00926E0D"/>
    <w:pPr>
      <w:spacing w:line="240" w:lineRule="auto"/>
    </w:pPr>
    <w:rPr>
      <w:sz w:val="20"/>
      <w:szCs w:val="20"/>
    </w:rPr>
  </w:style>
  <w:style w:type="character" w:customStyle="1" w:styleId="CommentTextChar">
    <w:name w:val="Comment Text Char"/>
    <w:basedOn w:val="DefaultParagraphFont"/>
    <w:link w:val="CommentText"/>
    <w:uiPriority w:val="99"/>
    <w:semiHidden/>
    <w:rsid w:val="00926E0D"/>
    <w:rPr>
      <w:sz w:val="20"/>
      <w:szCs w:val="20"/>
    </w:rPr>
  </w:style>
  <w:style w:type="paragraph" w:styleId="CommentSubject">
    <w:name w:val="annotation subject"/>
    <w:basedOn w:val="CommentText"/>
    <w:next w:val="CommentText"/>
    <w:link w:val="CommentSubjectChar"/>
    <w:uiPriority w:val="99"/>
    <w:semiHidden/>
    <w:unhideWhenUsed/>
    <w:rsid w:val="00926E0D"/>
    <w:rPr>
      <w:b/>
      <w:bCs/>
    </w:rPr>
  </w:style>
  <w:style w:type="character" w:customStyle="1" w:styleId="CommentSubjectChar">
    <w:name w:val="Comment Subject Char"/>
    <w:basedOn w:val="CommentTextChar"/>
    <w:link w:val="CommentSubject"/>
    <w:uiPriority w:val="99"/>
    <w:semiHidden/>
    <w:rsid w:val="00926E0D"/>
    <w:rPr>
      <w:b/>
      <w:bCs/>
      <w:sz w:val="20"/>
      <w:szCs w:val="20"/>
    </w:rPr>
  </w:style>
  <w:style w:type="paragraph" w:styleId="BalloonText">
    <w:name w:val="Balloon Text"/>
    <w:basedOn w:val="Normal"/>
    <w:link w:val="BalloonTextChar"/>
    <w:uiPriority w:val="99"/>
    <w:semiHidden/>
    <w:unhideWhenUsed/>
    <w:rsid w:val="00926E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6E0D"/>
    <w:rPr>
      <w:rFonts w:ascii="Segoe UI" w:hAnsi="Segoe UI" w:cs="Segoe UI"/>
      <w:sz w:val="18"/>
      <w:szCs w:val="18"/>
    </w:rPr>
  </w:style>
  <w:style w:type="character" w:styleId="Hyperlink">
    <w:name w:val="Hyperlink"/>
    <w:basedOn w:val="DefaultParagraphFont"/>
    <w:uiPriority w:val="99"/>
    <w:unhideWhenUsed/>
    <w:rsid w:val="005307EE"/>
    <w:rPr>
      <w:color w:val="0563C1" w:themeColor="hyperlink"/>
      <w:u w:val="single"/>
    </w:rPr>
  </w:style>
  <w:style w:type="character" w:styleId="UnresolvedMention">
    <w:name w:val="Unresolved Mention"/>
    <w:basedOn w:val="DefaultParagraphFont"/>
    <w:uiPriority w:val="99"/>
    <w:semiHidden/>
    <w:unhideWhenUsed/>
    <w:rsid w:val="005307EE"/>
    <w:rPr>
      <w:color w:val="605E5C"/>
      <w:shd w:val="clear" w:color="auto" w:fill="E1DFDD"/>
    </w:rPr>
  </w:style>
  <w:style w:type="paragraph" w:styleId="ListParagraph">
    <w:name w:val="List Paragraph"/>
    <w:basedOn w:val="Normal"/>
    <w:uiPriority w:val="34"/>
    <w:qFormat/>
    <w:rsid w:val="00D830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033186">
      <w:bodyDiv w:val="1"/>
      <w:marLeft w:val="0"/>
      <w:marRight w:val="0"/>
      <w:marTop w:val="0"/>
      <w:marBottom w:val="0"/>
      <w:divBdr>
        <w:top w:val="none" w:sz="0" w:space="0" w:color="auto"/>
        <w:left w:val="none" w:sz="0" w:space="0" w:color="auto"/>
        <w:bottom w:val="none" w:sz="0" w:space="0" w:color="auto"/>
        <w:right w:val="none" w:sz="0" w:space="0" w:color="auto"/>
      </w:divBdr>
    </w:div>
    <w:div w:id="232275574">
      <w:bodyDiv w:val="1"/>
      <w:marLeft w:val="0"/>
      <w:marRight w:val="0"/>
      <w:marTop w:val="0"/>
      <w:marBottom w:val="0"/>
      <w:divBdr>
        <w:top w:val="none" w:sz="0" w:space="0" w:color="auto"/>
        <w:left w:val="none" w:sz="0" w:space="0" w:color="auto"/>
        <w:bottom w:val="none" w:sz="0" w:space="0" w:color="auto"/>
        <w:right w:val="none" w:sz="0" w:space="0" w:color="auto"/>
      </w:divBdr>
    </w:div>
    <w:div w:id="403263968">
      <w:bodyDiv w:val="1"/>
      <w:marLeft w:val="0"/>
      <w:marRight w:val="0"/>
      <w:marTop w:val="0"/>
      <w:marBottom w:val="0"/>
      <w:divBdr>
        <w:top w:val="none" w:sz="0" w:space="0" w:color="auto"/>
        <w:left w:val="none" w:sz="0" w:space="0" w:color="auto"/>
        <w:bottom w:val="none" w:sz="0" w:space="0" w:color="auto"/>
        <w:right w:val="none" w:sz="0" w:space="0" w:color="auto"/>
      </w:divBdr>
    </w:div>
    <w:div w:id="441262855">
      <w:bodyDiv w:val="1"/>
      <w:marLeft w:val="0"/>
      <w:marRight w:val="0"/>
      <w:marTop w:val="0"/>
      <w:marBottom w:val="0"/>
      <w:divBdr>
        <w:top w:val="none" w:sz="0" w:space="0" w:color="auto"/>
        <w:left w:val="none" w:sz="0" w:space="0" w:color="auto"/>
        <w:bottom w:val="none" w:sz="0" w:space="0" w:color="auto"/>
        <w:right w:val="none" w:sz="0" w:space="0" w:color="auto"/>
      </w:divBdr>
    </w:div>
    <w:div w:id="836960717">
      <w:bodyDiv w:val="1"/>
      <w:marLeft w:val="0"/>
      <w:marRight w:val="0"/>
      <w:marTop w:val="0"/>
      <w:marBottom w:val="0"/>
      <w:divBdr>
        <w:top w:val="none" w:sz="0" w:space="0" w:color="auto"/>
        <w:left w:val="none" w:sz="0" w:space="0" w:color="auto"/>
        <w:bottom w:val="none" w:sz="0" w:space="0" w:color="auto"/>
        <w:right w:val="none" w:sz="0" w:space="0" w:color="auto"/>
      </w:divBdr>
    </w:div>
    <w:div w:id="1054889981">
      <w:bodyDiv w:val="1"/>
      <w:marLeft w:val="0"/>
      <w:marRight w:val="0"/>
      <w:marTop w:val="0"/>
      <w:marBottom w:val="0"/>
      <w:divBdr>
        <w:top w:val="none" w:sz="0" w:space="0" w:color="auto"/>
        <w:left w:val="none" w:sz="0" w:space="0" w:color="auto"/>
        <w:bottom w:val="none" w:sz="0" w:space="0" w:color="auto"/>
        <w:right w:val="none" w:sz="0" w:space="0" w:color="auto"/>
      </w:divBdr>
    </w:div>
    <w:div w:id="1608154173">
      <w:bodyDiv w:val="1"/>
      <w:marLeft w:val="0"/>
      <w:marRight w:val="0"/>
      <w:marTop w:val="0"/>
      <w:marBottom w:val="0"/>
      <w:divBdr>
        <w:top w:val="none" w:sz="0" w:space="0" w:color="auto"/>
        <w:left w:val="none" w:sz="0" w:space="0" w:color="auto"/>
        <w:bottom w:val="none" w:sz="0" w:space="0" w:color="auto"/>
        <w:right w:val="none" w:sz="0" w:space="0" w:color="auto"/>
      </w:divBdr>
    </w:div>
    <w:div w:id="1732194921">
      <w:bodyDiv w:val="1"/>
      <w:marLeft w:val="0"/>
      <w:marRight w:val="0"/>
      <w:marTop w:val="0"/>
      <w:marBottom w:val="0"/>
      <w:divBdr>
        <w:top w:val="none" w:sz="0" w:space="0" w:color="auto"/>
        <w:left w:val="none" w:sz="0" w:space="0" w:color="auto"/>
        <w:bottom w:val="none" w:sz="0" w:space="0" w:color="auto"/>
        <w:right w:val="none" w:sz="0" w:space="0" w:color="auto"/>
      </w:divBdr>
    </w:div>
    <w:div w:id="1944604549">
      <w:bodyDiv w:val="1"/>
      <w:marLeft w:val="0"/>
      <w:marRight w:val="0"/>
      <w:marTop w:val="0"/>
      <w:marBottom w:val="0"/>
      <w:divBdr>
        <w:top w:val="none" w:sz="0" w:space="0" w:color="auto"/>
        <w:left w:val="none" w:sz="0" w:space="0" w:color="auto"/>
        <w:bottom w:val="none" w:sz="0" w:space="0" w:color="auto"/>
        <w:right w:val="none" w:sz="0" w:space="0" w:color="auto"/>
      </w:divBdr>
    </w:div>
    <w:div w:id="1983462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cf.wisconsin.gov/manuals/ea-manual/Production/04/4.4.3_EA_Documentation_in_Electronic_Case_File_(ECF).htm" TargetMode="External"/><Relationship Id="rId3" Type="http://schemas.openxmlformats.org/officeDocument/2006/relationships/settings" Target="settings.xml"/><Relationship Id="rId7" Type="http://schemas.openxmlformats.org/officeDocument/2006/relationships/hyperlink" Target="https://dcf.wisconsin.gov/manuals/ea-manual/Production/01/1.2.2_Completing_the_Emergency_Assistance_Application.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6</Pages>
  <Words>1535</Words>
  <Characters>8750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Seery, Ginger P - DCF</dc:creator>
  <cp:keywords/>
  <dc:description/>
  <cp:lastModifiedBy>Seery, Ginger P - DCF</cp:lastModifiedBy>
  <cp:revision>8</cp:revision>
  <dcterms:created xsi:type="dcterms:W3CDTF">2021-02-15T16:42:00Z</dcterms:created>
  <dcterms:modified xsi:type="dcterms:W3CDTF">2021-02-15T18:39:00Z</dcterms:modified>
</cp:coreProperties>
</file>