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0E62" w14:textId="1C526F26" w:rsidR="00A55387" w:rsidRPr="00C27762" w:rsidRDefault="00701C08" w:rsidP="00930736">
      <w:pPr>
        <w:spacing w:before="120"/>
        <w:jc w:val="center"/>
        <w:rPr>
          <w:rFonts w:ascii="Roboto" w:hAnsi="Roboto"/>
          <w:b/>
          <w:bCs/>
          <w:sz w:val="28"/>
          <w:szCs w:val="28"/>
        </w:rPr>
      </w:pPr>
      <w:bookmarkStart w:id="0" w:name="_Hlk149227619"/>
      <w:proofErr w:type="spellStart"/>
      <w:r w:rsidRPr="00C27762">
        <w:rPr>
          <w:rFonts w:ascii="Roboto" w:hAnsi="Roboto"/>
          <w:b/>
          <w:bCs/>
          <w:sz w:val="28"/>
          <w:szCs w:val="28"/>
        </w:rPr>
        <w:t>Notificación</w:t>
      </w:r>
      <w:proofErr w:type="spellEnd"/>
      <w:r w:rsidRPr="00C27762">
        <w:rPr>
          <w:rFonts w:ascii="Roboto" w:hAnsi="Roboto"/>
          <w:b/>
          <w:bCs/>
          <w:sz w:val="28"/>
          <w:szCs w:val="28"/>
        </w:rPr>
        <w:t xml:space="preserve"> de </w:t>
      </w:r>
      <w:proofErr w:type="spellStart"/>
      <w:r w:rsidRPr="00C27762">
        <w:rPr>
          <w:rFonts w:ascii="Roboto" w:hAnsi="Roboto"/>
          <w:b/>
          <w:bCs/>
          <w:sz w:val="28"/>
          <w:szCs w:val="28"/>
        </w:rPr>
        <w:t>Denegación</w:t>
      </w:r>
      <w:proofErr w:type="spellEnd"/>
      <w:r w:rsidRPr="00C27762">
        <w:rPr>
          <w:rFonts w:ascii="Roboto" w:hAnsi="Roboto"/>
          <w:b/>
          <w:bCs/>
          <w:sz w:val="28"/>
          <w:szCs w:val="28"/>
        </w:rPr>
        <w:t xml:space="preserve"> de </w:t>
      </w:r>
      <w:proofErr w:type="spellStart"/>
      <w:r w:rsidRPr="00C27762">
        <w:rPr>
          <w:rFonts w:ascii="Roboto" w:hAnsi="Roboto"/>
          <w:b/>
          <w:bCs/>
          <w:sz w:val="28"/>
          <w:szCs w:val="28"/>
        </w:rPr>
        <w:t>Determinación</w:t>
      </w:r>
      <w:proofErr w:type="spellEnd"/>
      <w:r w:rsidRPr="00C27762">
        <w:rPr>
          <w:rFonts w:ascii="Roboto" w:hAnsi="Roboto"/>
          <w:b/>
          <w:bCs/>
          <w:sz w:val="28"/>
          <w:szCs w:val="28"/>
        </w:rPr>
        <w:t xml:space="preserve"> de </w:t>
      </w:r>
      <w:proofErr w:type="spellStart"/>
      <w:r w:rsidRPr="00C27762">
        <w:rPr>
          <w:rFonts w:ascii="Roboto" w:hAnsi="Roboto"/>
          <w:b/>
          <w:bCs/>
          <w:sz w:val="28"/>
          <w:szCs w:val="28"/>
        </w:rPr>
        <w:t>Hechos</w:t>
      </w:r>
      <w:proofErr w:type="spellEnd"/>
    </w:p>
    <w:bookmarkEnd w:id="0"/>
    <w:p w14:paraId="6CE6853D" w14:textId="3DB478E5" w:rsidR="00D1742C" w:rsidRDefault="00701C08" w:rsidP="00930736">
      <w:pPr>
        <w:spacing w:after="120"/>
        <w:jc w:val="center"/>
        <w:rPr>
          <w:rFonts w:ascii="Roboto" w:hAnsi="Roboto"/>
          <w:sz w:val="20"/>
          <w:szCs w:val="20"/>
        </w:rPr>
      </w:pPr>
      <w:r w:rsidRPr="00701C08">
        <w:rPr>
          <w:rFonts w:ascii="Roboto" w:hAnsi="Roboto"/>
          <w:sz w:val="20"/>
          <w:szCs w:val="20"/>
        </w:rPr>
        <w:t>FACT FINDING REVIEW DENIAL NOTICE</w:t>
      </w:r>
    </w:p>
    <w:p w14:paraId="3A0E5A6D" w14:textId="47078FE4" w:rsidR="00470F5F" w:rsidRPr="005A5E76" w:rsidRDefault="009D4A35" w:rsidP="00930736">
      <w:pPr>
        <w:spacing w:after="120"/>
        <w:rPr>
          <w:rFonts w:ascii="Roboto" w:hAnsi="Roboto"/>
          <w:spacing w:val="-4"/>
          <w:sz w:val="20"/>
          <w:szCs w:val="28"/>
        </w:rPr>
      </w:pPr>
      <w:r w:rsidRPr="005A5E76">
        <w:rPr>
          <w:rFonts w:ascii="Roboto" w:hAnsi="Roboto"/>
          <w:spacing w:val="-4"/>
          <w:sz w:val="20"/>
          <w:szCs w:val="28"/>
        </w:rPr>
        <w:t xml:space="preserve">La </w:t>
      </w:r>
      <w:proofErr w:type="spellStart"/>
      <w:r w:rsidRPr="005A5E76">
        <w:rPr>
          <w:rFonts w:ascii="Roboto" w:hAnsi="Roboto"/>
          <w:spacing w:val="-4"/>
          <w:sz w:val="20"/>
          <w:szCs w:val="28"/>
        </w:rPr>
        <w:t>información</w:t>
      </w:r>
      <w:proofErr w:type="spellEnd"/>
      <w:r w:rsidRPr="005A5E76">
        <w:rPr>
          <w:rFonts w:ascii="Roboto" w:hAnsi="Roboto"/>
          <w:spacing w:val="-4"/>
          <w:sz w:val="20"/>
          <w:szCs w:val="28"/>
        </w:rPr>
        <w:t xml:space="preserve"> personal que </w:t>
      </w:r>
      <w:proofErr w:type="spellStart"/>
      <w:r w:rsidRPr="005A5E76">
        <w:rPr>
          <w:rFonts w:ascii="Roboto" w:hAnsi="Roboto"/>
          <w:spacing w:val="-4"/>
          <w:sz w:val="20"/>
          <w:szCs w:val="28"/>
        </w:rPr>
        <w:t>proporcione</w:t>
      </w:r>
      <w:proofErr w:type="spellEnd"/>
      <w:r w:rsidRPr="005A5E76">
        <w:rPr>
          <w:rFonts w:ascii="Roboto" w:hAnsi="Roboto"/>
          <w:spacing w:val="-4"/>
          <w:sz w:val="20"/>
          <w:szCs w:val="28"/>
        </w:rPr>
        <w:t xml:space="preserve"> se </w:t>
      </w:r>
      <w:proofErr w:type="spellStart"/>
      <w:r w:rsidRPr="005A5E76">
        <w:rPr>
          <w:rFonts w:ascii="Roboto" w:hAnsi="Roboto"/>
          <w:spacing w:val="-4"/>
          <w:sz w:val="20"/>
          <w:szCs w:val="28"/>
        </w:rPr>
        <w:t>puede</w:t>
      </w:r>
      <w:proofErr w:type="spellEnd"/>
      <w:r w:rsidRPr="005A5E76">
        <w:rPr>
          <w:rFonts w:ascii="Roboto" w:hAnsi="Roboto"/>
          <w:spacing w:val="-4"/>
          <w:sz w:val="20"/>
          <w:szCs w:val="28"/>
        </w:rPr>
        <w:t xml:space="preserve"> usar para </w:t>
      </w:r>
      <w:proofErr w:type="spellStart"/>
      <w:r w:rsidRPr="005A5E76">
        <w:rPr>
          <w:rFonts w:ascii="Roboto" w:hAnsi="Roboto"/>
          <w:spacing w:val="-4"/>
          <w:sz w:val="20"/>
          <w:szCs w:val="28"/>
        </w:rPr>
        <w:t>propósitos</w:t>
      </w:r>
      <w:proofErr w:type="spellEnd"/>
      <w:r w:rsidRPr="005A5E76">
        <w:rPr>
          <w:rFonts w:ascii="Roboto" w:hAnsi="Roboto"/>
          <w:spacing w:val="-4"/>
          <w:sz w:val="20"/>
          <w:szCs w:val="28"/>
        </w:rPr>
        <w:t xml:space="preserve"> </w:t>
      </w:r>
      <w:proofErr w:type="spellStart"/>
      <w:r w:rsidRPr="005A5E76">
        <w:rPr>
          <w:rFonts w:ascii="Roboto" w:hAnsi="Roboto"/>
          <w:spacing w:val="-4"/>
          <w:sz w:val="20"/>
          <w:szCs w:val="28"/>
        </w:rPr>
        <w:t>secundarios</w:t>
      </w:r>
      <w:proofErr w:type="spellEnd"/>
      <w:r w:rsidRPr="005A5E76">
        <w:rPr>
          <w:rFonts w:ascii="Roboto" w:hAnsi="Roboto"/>
          <w:spacing w:val="-4"/>
          <w:sz w:val="20"/>
          <w:szCs w:val="28"/>
        </w:rPr>
        <w:t xml:space="preserve"> [Privacy Law, </w:t>
      </w:r>
      <w:proofErr w:type="spellStart"/>
      <w:r w:rsidRPr="005A5E76">
        <w:rPr>
          <w:rFonts w:ascii="Roboto" w:hAnsi="Roboto"/>
          <w:spacing w:val="-4"/>
          <w:sz w:val="20"/>
          <w:szCs w:val="28"/>
        </w:rPr>
        <w:t>s.15.04</w:t>
      </w:r>
      <w:proofErr w:type="spellEnd"/>
      <w:r w:rsidRPr="005A5E76">
        <w:rPr>
          <w:rFonts w:ascii="Roboto" w:hAnsi="Roboto"/>
          <w:spacing w:val="-4"/>
          <w:sz w:val="20"/>
          <w:szCs w:val="28"/>
        </w:rPr>
        <w:t>(1)(m), Wisconsin Statutes].</w:t>
      </w:r>
    </w:p>
    <w:p w14:paraId="6C0A9E59" w14:textId="77777777" w:rsidR="009D4A35" w:rsidRPr="009D4A35" w:rsidRDefault="009D4A35" w:rsidP="006A76D5">
      <w:pPr>
        <w:jc w:val="center"/>
        <w:rPr>
          <w:b/>
          <w:bCs/>
          <w:sz w:val="2"/>
          <w:szCs w:val="8"/>
        </w:rPr>
      </w:pPr>
    </w:p>
    <w:tbl>
      <w:tblPr>
        <w:tblW w:w="0" w:type="auto"/>
        <w:jc w:val="center"/>
        <w:tblBorders>
          <w:top w:val="single" w:sz="18" w:space="0" w:color="BFBFBF"/>
          <w:left w:val="single" w:sz="18" w:space="0" w:color="BFBFBF"/>
          <w:bottom w:val="single" w:sz="2" w:space="0" w:color="BFBFBF"/>
          <w:right w:val="single" w:sz="18" w:space="0" w:color="BFBFBF"/>
        </w:tblBorders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500074" w:rsidRPr="00846847" w14:paraId="1272CF99" w14:textId="77777777" w:rsidTr="00393F50">
        <w:trPr>
          <w:cantSplit/>
          <w:jc w:val="center"/>
        </w:trPr>
        <w:tc>
          <w:tcPr>
            <w:tcW w:w="10296" w:type="dxa"/>
            <w:tcMar>
              <w:right w:w="0" w:type="dxa"/>
            </w:tcMar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12"/>
              <w:gridCol w:w="5112"/>
            </w:tblGrid>
            <w:tr w:rsidR="00500074" w:rsidRPr="00A55387" w14:paraId="439B3BB3" w14:textId="77777777" w:rsidTr="006D14C0">
              <w:trPr>
                <w:trHeight w:val="1046"/>
              </w:trPr>
              <w:tc>
                <w:tcPr>
                  <w:tcW w:w="10224" w:type="dxa"/>
                  <w:gridSpan w:val="2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</w:tcPr>
                <w:p w14:paraId="7A525531" w14:textId="0CD8D2ED" w:rsidR="00500074" w:rsidRPr="00A55387" w:rsidRDefault="00065387" w:rsidP="00A55387">
                  <w:pPr>
                    <w:jc w:val="center"/>
                    <w:rPr>
                      <w:rStyle w:val="DLSVAR"/>
                      <w:rFonts w:ascii="Roboto" w:hAnsi="Roboto" w:cs="Arial"/>
                      <w:color w:val="auto"/>
                      <w:sz w:val="20"/>
                      <w:szCs w:val="20"/>
                      <w:lang w:val="it-IT"/>
                    </w:rPr>
                  </w:pPr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El </w:t>
                  </w:r>
                  <w:r w:rsidR="0081739C">
                    <w:rPr>
                      <w:rFonts w:ascii="Roboto" w:hAnsi="Roboto" w:cs="Arial"/>
                      <w:sz w:val="20"/>
                      <w:szCs w:val="20"/>
                    </w:rPr>
                    <w:t>State of Wisconsin</w:t>
                  </w:r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es un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proveedor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servicios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que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ofrece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igualdad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oportunidades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. </w:t>
                  </w:r>
                  <w:r w:rsidRPr="00A55387">
                    <w:rPr>
                      <w:rFonts w:ascii="Roboto" w:hAnsi="Roboto" w:cs="Arial"/>
                      <w:sz w:val="20"/>
                      <w:szCs w:val="20"/>
                      <w:lang w:val="it-IT"/>
                    </w:rPr>
                    <w:t xml:space="preserve">Esta carta contiene información que afecta sus beneficios de W-2. </w:t>
                  </w:r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Si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tiene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alguna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discapacidad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necesita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acceder a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servicios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recibir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información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en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formato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alternativo o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necesita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que le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traduzcan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información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a</w:t>
                  </w:r>
                  <w:proofErr w:type="gram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otro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idioma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>comuníquese</w:t>
                  </w:r>
                  <w:proofErr w:type="spellEnd"/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 </w:t>
                  </w:r>
                  <w:r w:rsidRPr="00A55387">
                    <w:rPr>
                      <w:rFonts w:ascii="Roboto" w:hAnsi="Roboto" w:cs="Arial"/>
                      <w:sz w:val="20"/>
                      <w:szCs w:val="20"/>
                      <w:lang w:val="es-ES"/>
                    </w:rPr>
                    <w:t>abajo indicado</w:t>
                  </w:r>
                  <w:r w:rsidRPr="00A55387">
                    <w:rPr>
                      <w:rFonts w:ascii="Roboto" w:hAnsi="Roboto" w:cs="Arial"/>
                      <w:sz w:val="20"/>
                      <w:szCs w:val="20"/>
                    </w:rPr>
                    <w:t xml:space="preserve">. </w:t>
                  </w:r>
                  <w:r w:rsidRPr="00A55387">
                    <w:rPr>
                      <w:rFonts w:ascii="Roboto" w:hAnsi="Roboto" w:cs="Arial"/>
                      <w:sz w:val="20"/>
                      <w:szCs w:val="20"/>
                      <w:lang w:val="it-IT"/>
                    </w:rPr>
                    <w:t>Estos servicios son gratuitos.</w:t>
                  </w:r>
                </w:p>
              </w:tc>
            </w:tr>
            <w:tr w:rsidR="00393F50" w:rsidRPr="00A55387" w14:paraId="660C4CC9" w14:textId="77777777" w:rsidTr="006D14C0">
              <w:trPr>
                <w:trHeight w:val="308"/>
              </w:trPr>
              <w:tc>
                <w:tcPr>
                  <w:tcW w:w="5112" w:type="dxa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9C8259" w14:textId="0224E786" w:rsidR="00393F50" w:rsidRPr="00A55387" w:rsidRDefault="00065387" w:rsidP="00393F50">
                  <w:pPr>
                    <w:jc w:val="center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A55387">
                    <w:rPr>
                      <w:rFonts w:ascii="Roboto" w:hAnsi="Roboto" w:cs="Arial"/>
                      <w:b/>
                      <w:color w:val="000000"/>
                      <w:sz w:val="20"/>
                      <w:szCs w:val="20"/>
                    </w:rPr>
                    <w:t xml:space="preserve">W-2:  </w:t>
                  </w:r>
                  <w:r w:rsidRPr="00DD6DAA">
                    <w:rPr>
                      <w:rFonts w:ascii="Roboto" w:hAnsi="Roboto" w:cs="Arial"/>
                      <w:bCs/>
                      <w:color w:val="000000"/>
                      <w:sz w:val="20"/>
                      <w:szCs w:val="20"/>
                    </w:rPr>
                    <w:t>855-757-4539</w:t>
                  </w:r>
                </w:p>
              </w:tc>
              <w:tc>
                <w:tcPr>
                  <w:tcW w:w="5112" w:type="dxa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E0E70B" w14:textId="3560901D" w:rsidR="00393F50" w:rsidRPr="00A55387" w:rsidRDefault="00065387" w:rsidP="00393F50">
                  <w:pPr>
                    <w:jc w:val="center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A55387">
                    <w:rPr>
                      <w:rFonts w:ascii="Roboto" w:hAnsi="Roboto" w:cs="Arial"/>
                      <w:b/>
                      <w:color w:val="000000"/>
                      <w:sz w:val="20"/>
                      <w:szCs w:val="20"/>
                      <w:lang w:bidi="ar-SA"/>
                    </w:rPr>
                    <w:t>TTY</w:t>
                  </w:r>
                  <w:r w:rsidRPr="00A55387">
                    <w:rPr>
                      <w:rFonts w:ascii="Roboto" w:hAnsi="Roboto" w:cs="Arial"/>
                      <w:color w:val="000000"/>
                      <w:sz w:val="20"/>
                      <w:szCs w:val="20"/>
                      <w:lang w:bidi="ar-SA"/>
                    </w:rPr>
                    <w:t>:</w:t>
                  </w:r>
                  <w:r w:rsidRPr="00A55387">
                    <w:rPr>
                      <w:rFonts w:ascii="Roboto" w:hAnsi="Roboto" w:cs="Arial"/>
                      <w:sz w:val="20"/>
                      <w:szCs w:val="20"/>
                      <w:lang w:bidi="ar-SA"/>
                    </w:rPr>
                    <w:t xml:space="preserve">  </w:t>
                  </w:r>
                  <w:r w:rsidRPr="00A55387">
                    <w:rPr>
                      <w:rFonts w:ascii="Roboto" w:hAnsi="Roboto"/>
                      <w:sz w:val="20"/>
                      <w:szCs w:val="20"/>
                      <w:lang w:bidi="ar-SA"/>
                    </w:rPr>
                    <w:t>711</w:t>
                  </w:r>
                </w:p>
              </w:tc>
            </w:tr>
          </w:tbl>
          <w:p w14:paraId="354E2875" w14:textId="77777777" w:rsidR="00500074" w:rsidRPr="001B3933" w:rsidRDefault="00500074" w:rsidP="006A76D5">
            <w:pPr>
              <w:jc w:val="center"/>
              <w:rPr>
                <w:rStyle w:val="DLSVAR"/>
                <w:rFonts w:cs="Arial"/>
                <w:sz w:val="20"/>
                <w:szCs w:val="20"/>
                <w:lang w:val="es-ES_tradnl"/>
              </w:rPr>
            </w:pPr>
          </w:p>
        </w:tc>
      </w:tr>
    </w:tbl>
    <w:p w14:paraId="5992D1CF" w14:textId="77777777" w:rsidR="00500074" w:rsidRPr="00332EC6" w:rsidRDefault="00500074" w:rsidP="00CA4C51">
      <w:pPr>
        <w:rPr>
          <w:rStyle w:val="DLSVAR"/>
          <w:rFonts w:cs="Arial"/>
          <w:sz w:val="2"/>
        </w:rPr>
      </w:pPr>
    </w:p>
    <w:p w14:paraId="2BBBBA32" w14:textId="77777777" w:rsidR="0087419C" w:rsidRPr="006A76D5" w:rsidRDefault="0087419C">
      <w:pPr>
        <w:rPr>
          <w:rFonts w:ascii="Roboto" w:hAnsi="Roboto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10961"/>
      </w:tblGrid>
      <w:tr w:rsidR="00D1742C" w:rsidRPr="0011422A" w14:paraId="3FBA9B77" w14:textId="77777777" w:rsidTr="0087419C">
        <w:tc>
          <w:tcPr>
            <w:tcW w:w="112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25D1A" w14:textId="79F3B2D7" w:rsidR="00D1742C" w:rsidRPr="006A76D5" w:rsidRDefault="00701C08" w:rsidP="00D86F65">
            <w:pPr>
              <w:spacing w:before="60" w:after="40"/>
              <w:rPr>
                <w:rFonts w:ascii="Roboto" w:hAnsi="Roboto"/>
                <w:sz w:val="20"/>
                <w:szCs w:val="20"/>
              </w:rPr>
            </w:pPr>
            <w:r w:rsidRPr="00701C08">
              <w:rPr>
                <w:rFonts w:ascii="Roboto" w:hAnsi="Roboto"/>
                <w:sz w:val="20"/>
                <w:szCs w:val="20"/>
              </w:rPr>
              <w:t xml:space="preserve">Ha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solicitado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una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Determinación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Hechos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r w:rsidRPr="00F72FBE">
              <w:rPr>
                <w:rFonts w:ascii="Roboto" w:hAnsi="Roboto"/>
                <w:sz w:val="20"/>
                <w:szCs w:val="20"/>
              </w:rPr>
              <w:t>de</w:t>
            </w:r>
            <w:r w:rsidR="00F4339C">
              <w:rPr>
                <w:rFonts w:ascii="Roboto" w:hAnsi="Roboto"/>
                <w:sz w:val="20"/>
                <w:szCs w:val="20"/>
              </w:rPr>
              <w:t xml:space="preserve"> </w:t>
            </w:r>
            <w:r w:rsidR="00F4339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F4339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4339C">
              <w:rPr>
                <w:rFonts w:ascii="Garamond" w:hAnsi="Garamond"/>
                <w:sz w:val="22"/>
                <w:szCs w:val="22"/>
              </w:rPr>
            </w:r>
            <w:r w:rsidR="00F4339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A5E76">
              <w:rPr>
                <w:rFonts w:ascii="Garamond" w:hAnsi="Garamond"/>
                <w:sz w:val="22"/>
                <w:szCs w:val="22"/>
              </w:rPr>
              <w:t> </w:t>
            </w:r>
            <w:r w:rsidR="005A5E76">
              <w:rPr>
                <w:rFonts w:ascii="Garamond" w:hAnsi="Garamond"/>
                <w:sz w:val="22"/>
                <w:szCs w:val="22"/>
              </w:rPr>
              <w:t> </w:t>
            </w:r>
            <w:r w:rsidR="005A5E76">
              <w:rPr>
                <w:rFonts w:ascii="Garamond" w:hAnsi="Garamond"/>
                <w:sz w:val="22"/>
                <w:szCs w:val="22"/>
              </w:rPr>
              <w:t> </w:t>
            </w:r>
            <w:r w:rsidR="005A5E76">
              <w:rPr>
                <w:rFonts w:ascii="Garamond" w:hAnsi="Garamond"/>
                <w:sz w:val="22"/>
                <w:szCs w:val="22"/>
              </w:rPr>
              <w:t> </w:t>
            </w:r>
            <w:r w:rsidR="005A5E76">
              <w:rPr>
                <w:rFonts w:ascii="Garamond" w:hAnsi="Garamond"/>
                <w:sz w:val="22"/>
                <w:szCs w:val="22"/>
              </w:rPr>
              <w:t> </w:t>
            </w:r>
            <w:r w:rsidR="00F4339C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F4339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por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los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siguientes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motivos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>:</w:t>
            </w:r>
            <w:r w:rsidR="00CB0CAE">
              <w:rPr>
                <w:rFonts w:ascii="Roboto" w:hAnsi="Roboto"/>
                <w:sz w:val="22"/>
                <w:szCs w:val="22"/>
              </w:rPr>
              <w:t xml:space="preserve"> </w:t>
            </w:r>
            <w:r w:rsidR="00C277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C277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27762">
              <w:rPr>
                <w:rFonts w:ascii="Garamond" w:hAnsi="Garamond"/>
                <w:sz w:val="22"/>
                <w:szCs w:val="22"/>
              </w:rPr>
            </w:r>
            <w:r w:rsidR="00C277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A5E76">
              <w:rPr>
                <w:rFonts w:ascii="Garamond" w:hAnsi="Garamond"/>
                <w:sz w:val="22"/>
                <w:szCs w:val="22"/>
              </w:rPr>
              <w:t> </w:t>
            </w:r>
            <w:r w:rsidR="005A5E76">
              <w:rPr>
                <w:rFonts w:ascii="Garamond" w:hAnsi="Garamond"/>
                <w:sz w:val="22"/>
                <w:szCs w:val="22"/>
              </w:rPr>
              <w:t> </w:t>
            </w:r>
            <w:r w:rsidR="005A5E76">
              <w:rPr>
                <w:rFonts w:ascii="Garamond" w:hAnsi="Garamond"/>
                <w:sz w:val="22"/>
                <w:szCs w:val="22"/>
              </w:rPr>
              <w:t> </w:t>
            </w:r>
            <w:r w:rsidR="005A5E76">
              <w:rPr>
                <w:rFonts w:ascii="Garamond" w:hAnsi="Garamond"/>
                <w:sz w:val="22"/>
                <w:szCs w:val="22"/>
              </w:rPr>
              <w:t> </w:t>
            </w:r>
            <w:r w:rsidR="005A5E76">
              <w:rPr>
                <w:rFonts w:ascii="Garamond" w:hAnsi="Garamond"/>
                <w:sz w:val="22"/>
                <w:szCs w:val="22"/>
              </w:rPr>
              <w:t> </w:t>
            </w:r>
            <w:r w:rsidR="00C2776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1742C" w:rsidRPr="0011422A" w14:paraId="5BC62102" w14:textId="77777777" w:rsidTr="0087419C">
        <w:tc>
          <w:tcPr>
            <w:tcW w:w="11290" w:type="dxa"/>
            <w:gridSpan w:val="2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4B5F6DC" w14:textId="77777777" w:rsidR="004E4972" w:rsidRPr="004E4972" w:rsidRDefault="004E4972" w:rsidP="009D4A35">
            <w:pPr>
              <w:spacing w:after="60"/>
              <w:rPr>
                <w:rFonts w:ascii="Roboto" w:hAnsi="Roboto"/>
                <w:sz w:val="2"/>
                <w:szCs w:val="2"/>
              </w:rPr>
            </w:pPr>
          </w:p>
          <w:p w14:paraId="77C85732" w14:textId="63FB248C" w:rsidR="00522211" w:rsidRPr="006A76D5" w:rsidRDefault="00701C08" w:rsidP="009D4A35">
            <w:pPr>
              <w:spacing w:after="60"/>
              <w:rPr>
                <w:rFonts w:ascii="Roboto" w:hAnsi="Roboto"/>
                <w:sz w:val="6"/>
                <w:szCs w:val="6"/>
              </w:rPr>
            </w:pPr>
            <w:r w:rsidRPr="00701C08">
              <w:rPr>
                <w:rFonts w:ascii="Roboto" w:hAnsi="Roboto"/>
                <w:sz w:val="20"/>
                <w:szCs w:val="20"/>
              </w:rPr>
              <w:t xml:space="preserve">Se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deniega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solicitud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investigación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por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la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Determinación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Hechos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que se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exponen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a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continuación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>:</w:t>
            </w:r>
          </w:p>
        </w:tc>
      </w:tr>
      <w:tr w:rsidR="00F72FBE" w:rsidRPr="0011422A" w14:paraId="68712A8F" w14:textId="77777777" w:rsidTr="0087419C">
        <w:trPr>
          <w:trHeight w:val="91"/>
        </w:trPr>
        <w:tc>
          <w:tcPr>
            <w:tcW w:w="1129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466D7CA" w14:textId="77777777" w:rsidR="00F72FBE" w:rsidRPr="00F72FBE" w:rsidRDefault="00F72FBE" w:rsidP="00F72FBE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1742C" w:rsidRPr="0011422A" w14:paraId="74058902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D2FB4" w14:textId="59E5DC74" w:rsidR="00D1742C" w:rsidRPr="006A76D5" w:rsidRDefault="009E115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BEE65" w14:textId="654A2D7E" w:rsidR="00D1742C" w:rsidRPr="002E338B" w:rsidRDefault="00740658" w:rsidP="00C96CD4">
            <w:pPr>
              <w:pStyle w:val="TableParagraph"/>
              <w:spacing w:before="100" w:beforeAutospacing="1"/>
              <w:ind w:left="285" w:hanging="285"/>
              <w:rPr>
                <w:rFonts w:ascii="Roboto" w:hAnsi="Roboto"/>
              </w:rPr>
            </w:pPr>
            <w:r w:rsidRPr="00D86F6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F65">
              <w:rPr>
                <w:sz w:val="20"/>
                <w:szCs w:val="20"/>
              </w:rPr>
              <w:instrText xml:space="preserve"> FORMCHECKBOX </w:instrText>
            </w:r>
            <w:r w:rsidR="00DD2083">
              <w:rPr>
                <w:sz w:val="20"/>
                <w:szCs w:val="20"/>
              </w:rPr>
            </w:r>
            <w:r w:rsidR="00DD2083">
              <w:rPr>
                <w:sz w:val="20"/>
                <w:szCs w:val="20"/>
              </w:rPr>
              <w:fldChar w:fldCharType="separate"/>
            </w:r>
            <w:r w:rsidRPr="00D86F6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701C08" w:rsidRPr="00701C08">
              <w:rPr>
                <w:rFonts w:ascii="Roboto" w:hAnsi="Roboto"/>
                <w:sz w:val="20"/>
                <w:szCs w:val="20"/>
              </w:rPr>
              <w:t xml:space="preserve">No ha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presentado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solicitud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a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tiempo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. 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Según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nuestros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registros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, la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notificación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sobre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la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acción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que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considera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incorrecta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se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envió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el</w:t>
            </w:r>
            <w:proofErr w:type="spellEnd"/>
            <w:r w:rsidR="00701C08">
              <w:rPr>
                <w:rFonts w:ascii="Roboto" w:hAnsi="Roboto"/>
                <w:sz w:val="20"/>
                <w:szCs w:val="20"/>
              </w:rPr>
              <w:t xml:space="preserve"> </w:t>
            </w:r>
            <w:r w:rsidR="00C27762">
              <w:rPr>
                <w:rFonts w:ascii="Roboto" w:hAnsi="Roboto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9"/>
            <w:r w:rsidR="00C27762">
              <w:rPr>
                <w:rFonts w:ascii="Roboto" w:hAnsi="Roboto"/>
                <w:b/>
              </w:rPr>
              <w:instrText xml:space="preserve"> FORMTEXT </w:instrText>
            </w:r>
            <w:r w:rsidR="00C27762">
              <w:rPr>
                <w:rFonts w:ascii="Roboto" w:hAnsi="Roboto"/>
                <w:b/>
              </w:rPr>
            </w:r>
            <w:r w:rsidR="00C27762">
              <w:rPr>
                <w:rFonts w:ascii="Roboto" w:hAnsi="Roboto"/>
                <w:b/>
              </w:rPr>
              <w:fldChar w:fldCharType="separate"/>
            </w:r>
            <w:r w:rsidR="005A5E76">
              <w:rPr>
                <w:rFonts w:ascii="Roboto" w:hAnsi="Roboto"/>
                <w:b/>
              </w:rPr>
              <w:t> </w:t>
            </w:r>
            <w:r w:rsidR="005A5E76">
              <w:rPr>
                <w:rFonts w:ascii="Roboto" w:hAnsi="Roboto"/>
                <w:b/>
              </w:rPr>
              <w:t> </w:t>
            </w:r>
            <w:r w:rsidR="00C27762">
              <w:rPr>
                <w:rFonts w:ascii="Roboto" w:hAnsi="Roboto"/>
                <w:b/>
              </w:rPr>
              <w:fldChar w:fldCharType="end"/>
            </w:r>
            <w:bookmarkEnd w:id="1"/>
            <w:r w:rsidR="002E338B" w:rsidRPr="009A283C">
              <w:rPr>
                <w:rFonts w:ascii="Roboto" w:hAnsi="Roboto"/>
                <w:b/>
              </w:rPr>
              <w:t>/</w:t>
            </w:r>
            <w:r w:rsidR="002E338B" w:rsidRPr="009A283C">
              <w:rPr>
                <w:rFonts w:ascii="Roboto" w:hAnsi="Roboto"/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338B" w:rsidRPr="009A283C">
              <w:rPr>
                <w:rFonts w:ascii="Roboto" w:hAnsi="Roboto"/>
                <w:b/>
              </w:rPr>
              <w:instrText xml:space="preserve"> FORMTEXT </w:instrText>
            </w:r>
            <w:r w:rsidR="002E338B" w:rsidRPr="009A283C">
              <w:rPr>
                <w:rFonts w:ascii="Roboto" w:hAnsi="Roboto"/>
                <w:b/>
              </w:rPr>
            </w:r>
            <w:r w:rsidR="002E338B" w:rsidRPr="009A283C">
              <w:rPr>
                <w:rFonts w:ascii="Roboto" w:hAnsi="Roboto"/>
                <w:b/>
              </w:rPr>
              <w:fldChar w:fldCharType="separate"/>
            </w:r>
            <w:r w:rsidR="005A5E76">
              <w:rPr>
                <w:rFonts w:ascii="Roboto" w:hAnsi="Roboto"/>
                <w:b/>
              </w:rPr>
              <w:t> </w:t>
            </w:r>
            <w:r w:rsidR="005A5E76">
              <w:rPr>
                <w:rFonts w:ascii="Roboto" w:hAnsi="Roboto"/>
                <w:b/>
              </w:rPr>
              <w:t> </w:t>
            </w:r>
            <w:r w:rsidR="002E338B" w:rsidRPr="009A283C">
              <w:rPr>
                <w:rFonts w:ascii="Roboto" w:hAnsi="Roboto"/>
                <w:b/>
              </w:rPr>
              <w:fldChar w:fldCharType="end"/>
            </w:r>
            <w:r w:rsidR="002E338B" w:rsidRPr="009A283C">
              <w:rPr>
                <w:rFonts w:ascii="Roboto" w:hAnsi="Roboto"/>
                <w:b/>
              </w:rPr>
              <w:t>/</w:t>
            </w:r>
            <w:r w:rsidR="002E338B" w:rsidRPr="0093610F">
              <w:rPr>
                <w:rFonts w:ascii="Garamond" w:hAnsi="Garamond"/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E338B" w:rsidRPr="0093610F">
              <w:rPr>
                <w:rFonts w:ascii="Garamond" w:hAnsi="Garamond"/>
                <w:b/>
              </w:rPr>
              <w:instrText xml:space="preserve"> FORMTEXT </w:instrText>
            </w:r>
            <w:r w:rsidR="002E338B" w:rsidRPr="0093610F">
              <w:rPr>
                <w:rFonts w:ascii="Garamond" w:hAnsi="Garamond"/>
                <w:b/>
              </w:rPr>
            </w:r>
            <w:r w:rsidR="002E338B" w:rsidRPr="0093610F">
              <w:rPr>
                <w:rFonts w:ascii="Garamond" w:hAnsi="Garamond"/>
                <w:b/>
              </w:rPr>
              <w:fldChar w:fldCharType="separate"/>
            </w:r>
            <w:r w:rsidR="005A5E76">
              <w:rPr>
                <w:rFonts w:ascii="Garamond" w:hAnsi="Garamond"/>
                <w:b/>
              </w:rPr>
              <w:t> </w:t>
            </w:r>
            <w:r w:rsidR="005A5E76">
              <w:rPr>
                <w:rFonts w:ascii="Garamond" w:hAnsi="Garamond"/>
                <w:b/>
              </w:rPr>
              <w:t> </w:t>
            </w:r>
            <w:r w:rsidR="005A5E76">
              <w:rPr>
                <w:rFonts w:ascii="Garamond" w:hAnsi="Garamond"/>
                <w:b/>
              </w:rPr>
              <w:t> </w:t>
            </w:r>
            <w:r w:rsidR="005A5E76">
              <w:rPr>
                <w:rFonts w:ascii="Garamond" w:hAnsi="Garamond"/>
                <w:b/>
              </w:rPr>
              <w:t> </w:t>
            </w:r>
            <w:r w:rsidR="002E338B" w:rsidRPr="0093610F">
              <w:rPr>
                <w:rFonts w:ascii="Garamond" w:hAnsi="Garamond"/>
                <w:b/>
              </w:rPr>
              <w:fldChar w:fldCharType="end"/>
            </w:r>
            <w:r w:rsidR="002E338B">
              <w:rPr>
                <w:rFonts w:ascii="Roboto" w:hAnsi="Roboto"/>
              </w:rPr>
              <w:t>.</w:t>
            </w:r>
            <w:r w:rsidR="00D1742C" w:rsidRPr="006A76D5">
              <w:rPr>
                <w:rFonts w:ascii="Roboto" w:hAnsi="Roboto"/>
                <w:szCs w:val="18"/>
              </w:rPr>
              <w:t xml:space="preserve">  </w:t>
            </w:r>
            <w:r w:rsidR="00701C08" w:rsidRPr="00701C08">
              <w:rPr>
                <w:rFonts w:ascii="Roboto" w:hAnsi="Roboto"/>
                <w:sz w:val="20"/>
                <w:szCs w:val="20"/>
              </w:rPr>
              <w:t xml:space="preserve">No se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realizó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solicitud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sobre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la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Determinación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="00701C08" w:rsidRPr="00701C08">
              <w:rPr>
                <w:rFonts w:ascii="Roboto" w:hAnsi="Roboto"/>
                <w:sz w:val="20"/>
                <w:szCs w:val="20"/>
              </w:rPr>
              <w:t>Hechos</w:t>
            </w:r>
            <w:proofErr w:type="spellEnd"/>
            <w:r w:rsidR="00701C08" w:rsidRPr="00701C08">
              <w:rPr>
                <w:rFonts w:ascii="Roboto" w:hAnsi="Roboto"/>
                <w:sz w:val="20"/>
                <w:szCs w:val="20"/>
              </w:rPr>
              <w:t>:</w:t>
            </w:r>
          </w:p>
        </w:tc>
      </w:tr>
      <w:tr w:rsidR="00D1742C" w:rsidRPr="0011422A" w14:paraId="49A5F901" w14:textId="77777777" w:rsidTr="009E115D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5F649" w14:textId="661CF723" w:rsidR="00D1742C" w:rsidRPr="006A76D5" w:rsidRDefault="00701C08" w:rsidP="00D86F65">
            <w:pPr>
              <w:numPr>
                <w:ilvl w:val="0"/>
                <w:numId w:val="1"/>
              </w:numPr>
              <w:tabs>
                <w:tab w:val="clear" w:pos="1440"/>
              </w:tabs>
              <w:spacing w:before="80"/>
              <w:ind w:left="1080"/>
              <w:rPr>
                <w:rFonts w:ascii="Roboto" w:hAnsi="Roboto"/>
                <w:sz w:val="20"/>
                <w:szCs w:val="20"/>
              </w:rPr>
            </w:pPr>
            <w:r w:rsidRPr="00701C08">
              <w:rPr>
                <w:rFonts w:ascii="Roboto" w:hAnsi="Roboto"/>
                <w:sz w:val="20"/>
                <w:szCs w:val="20"/>
              </w:rPr>
              <w:t xml:space="preserve">En un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plazo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de 45 días a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partir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de la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fecha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envío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de la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notificación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>; o bien</w:t>
            </w:r>
          </w:p>
        </w:tc>
      </w:tr>
      <w:tr w:rsidR="00D1742C" w:rsidRPr="0011422A" w14:paraId="7FE4BE35" w14:textId="77777777" w:rsidTr="009E115D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E74D3" w14:textId="3A939167" w:rsidR="00D1742C" w:rsidRPr="006A76D5" w:rsidRDefault="00701C08" w:rsidP="00D86F65">
            <w:pPr>
              <w:numPr>
                <w:ilvl w:val="0"/>
                <w:numId w:val="1"/>
              </w:numPr>
              <w:tabs>
                <w:tab w:val="clear" w:pos="1440"/>
              </w:tabs>
              <w:spacing w:before="80"/>
              <w:ind w:left="1080"/>
              <w:rPr>
                <w:rFonts w:ascii="Roboto" w:hAnsi="Roboto"/>
                <w:sz w:val="20"/>
                <w:szCs w:val="20"/>
              </w:rPr>
            </w:pPr>
            <w:r w:rsidRPr="00701C08">
              <w:rPr>
                <w:rFonts w:ascii="Roboto" w:hAnsi="Roboto"/>
                <w:sz w:val="20"/>
                <w:szCs w:val="20"/>
              </w:rPr>
              <w:t xml:space="preserve">En un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plazo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de 45 días a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partir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de la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fecha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de entrada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en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vigor de la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decisión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anunciada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en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701C08">
              <w:rPr>
                <w:rFonts w:ascii="Roboto" w:hAnsi="Roboto"/>
                <w:sz w:val="20"/>
                <w:szCs w:val="20"/>
              </w:rPr>
              <w:t>el</w:t>
            </w:r>
            <w:proofErr w:type="spellEnd"/>
            <w:r w:rsidRPr="00701C08">
              <w:rPr>
                <w:rFonts w:ascii="Roboto" w:hAnsi="Roboto"/>
                <w:sz w:val="20"/>
                <w:szCs w:val="20"/>
              </w:rPr>
              <w:t xml:space="preserve"> aviso.</w:t>
            </w:r>
          </w:p>
        </w:tc>
      </w:tr>
      <w:tr w:rsidR="00D1742C" w:rsidRPr="0011422A" w14:paraId="0E2EFF12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1E554" w14:textId="77777777" w:rsidR="00D1742C" w:rsidRPr="006A76D5" w:rsidRDefault="00D1742C" w:rsidP="00D86F65">
            <w:pPr>
              <w:spacing w:before="120"/>
              <w:rPr>
                <w:rFonts w:ascii="Roboto" w:hAnsi="Roboto"/>
                <w:szCs w:val="18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7748D" w14:textId="10858B73" w:rsidR="00D1742C" w:rsidRPr="006A76D5" w:rsidRDefault="005E59DD" w:rsidP="00C96CD4">
            <w:pPr>
              <w:spacing w:before="120"/>
              <w:ind w:left="285" w:firstLine="15"/>
              <w:rPr>
                <w:rFonts w:ascii="Roboto" w:hAnsi="Roboto"/>
                <w:sz w:val="20"/>
                <w:szCs w:val="20"/>
              </w:rPr>
            </w:pPr>
            <w:r w:rsidRPr="005E59DD">
              <w:rPr>
                <w:rFonts w:ascii="Roboto" w:hAnsi="Roboto"/>
                <w:sz w:val="20"/>
                <w:szCs w:val="20"/>
              </w:rPr>
              <w:t xml:space="preserve">(Si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el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cuadragésimo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quinto día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cae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en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fin de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semana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o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festivo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el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siguiente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día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hábil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se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cuenta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como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5E59DD">
              <w:rPr>
                <w:rFonts w:ascii="Roboto" w:hAnsi="Roboto"/>
                <w:sz w:val="20"/>
                <w:szCs w:val="20"/>
              </w:rPr>
              <w:t>cuadragésimo</w:t>
            </w:r>
            <w:proofErr w:type="spellEnd"/>
            <w:r w:rsidRPr="005E59DD">
              <w:rPr>
                <w:rFonts w:ascii="Roboto" w:hAnsi="Roboto"/>
                <w:sz w:val="20"/>
                <w:szCs w:val="20"/>
              </w:rPr>
              <w:t xml:space="preserve"> quinto día).</w:t>
            </w:r>
          </w:p>
        </w:tc>
      </w:tr>
      <w:tr w:rsidR="00D1742C" w:rsidRPr="0011422A" w14:paraId="5040211F" w14:textId="77777777" w:rsidTr="009E115D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C11B5" w14:textId="77777777" w:rsidR="00D1742C" w:rsidRPr="00F72FBE" w:rsidRDefault="00D1742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1742C" w:rsidRPr="0011422A" w14:paraId="0419DDC5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39055" w14:textId="62474354" w:rsidR="00D1742C" w:rsidRPr="006A76D5" w:rsidRDefault="009E115D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4E034" w14:textId="3FB1D573" w:rsidR="00D1742C" w:rsidRPr="006A76D5" w:rsidRDefault="00740658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  <w:r w:rsidRPr="00D86F6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F65">
              <w:rPr>
                <w:sz w:val="20"/>
                <w:szCs w:val="20"/>
              </w:rPr>
              <w:instrText xml:space="preserve"> FORMCHECKBOX </w:instrText>
            </w:r>
            <w:r w:rsidR="00DD2083">
              <w:rPr>
                <w:sz w:val="20"/>
                <w:szCs w:val="20"/>
              </w:rPr>
            </w:r>
            <w:r w:rsidR="00DD2083">
              <w:rPr>
                <w:sz w:val="20"/>
                <w:szCs w:val="20"/>
              </w:rPr>
              <w:fldChar w:fldCharType="separate"/>
            </w:r>
            <w:r w:rsidRPr="00D86F6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5E59DD" w:rsidRPr="005E59DD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="005E59DD" w:rsidRPr="005E59DD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5E59DD" w:rsidRPr="005E59DD">
              <w:rPr>
                <w:rFonts w:ascii="Roboto" w:hAnsi="Roboto"/>
                <w:sz w:val="20"/>
                <w:szCs w:val="20"/>
              </w:rPr>
              <w:t>solicitud</w:t>
            </w:r>
            <w:proofErr w:type="spellEnd"/>
            <w:r w:rsidR="005E59DD" w:rsidRPr="005E59DD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="005E59DD" w:rsidRPr="005E59DD">
              <w:rPr>
                <w:rFonts w:ascii="Roboto" w:hAnsi="Roboto"/>
                <w:sz w:val="20"/>
                <w:szCs w:val="20"/>
              </w:rPr>
              <w:t>Determinación</w:t>
            </w:r>
            <w:proofErr w:type="spellEnd"/>
            <w:r w:rsidR="005E59DD" w:rsidRPr="005E59DD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="005E59DD" w:rsidRPr="005E59DD">
              <w:rPr>
                <w:rFonts w:ascii="Roboto" w:hAnsi="Roboto"/>
                <w:sz w:val="20"/>
                <w:szCs w:val="20"/>
              </w:rPr>
              <w:t>Hechos</w:t>
            </w:r>
            <w:proofErr w:type="spellEnd"/>
            <w:r w:rsidR="005E59DD" w:rsidRPr="005E59DD">
              <w:rPr>
                <w:rFonts w:ascii="Roboto" w:hAnsi="Roboto"/>
                <w:sz w:val="20"/>
                <w:szCs w:val="20"/>
              </w:rPr>
              <w:t xml:space="preserve"> no se </w:t>
            </w:r>
            <w:proofErr w:type="spellStart"/>
            <w:r w:rsidR="005E59DD" w:rsidRPr="005E59DD">
              <w:rPr>
                <w:rFonts w:ascii="Roboto" w:hAnsi="Roboto"/>
                <w:sz w:val="20"/>
                <w:szCs w:val="20"/>
              </w:rPr>
              <w:t>debe</w:t>
            </w:r>
            <w:proofErr w:type="spellEnd"/>
            <w:r w:rsidR="005E59DD" w:rsidRPr="005E59DD">
              <w:rPr>
                <w:rFonts w:ascii="Roboto" w:hAnsi="Roboto"/>
                <w:sz w:val="20"/>
                <w:szCs w:val="20"/>
              </w:rPr>
              <w:t xml:space="preserve"> a uno de </w:t>
            </w:r>
            <w:proofErr w:type="spellStart"/>
            <w:r w:rsidR="005E59DD" w:rsidRPr="005E59DD">
              <w:rPr>
                <w:rFonts w:ascii="Roboto" w:hAnsi="Roboto"/>
                <w:sz w:val="20"/>
                <w:szCs w:val="20"/>
              </w:rPr>
              <w:t>los</w:t>
            </w:r>
            <w:proofErr w:type="spellEnd"/>
            <w:r w:rsidR="005E59DD" w:rsidRPr="005E59DD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5E59DD" w:rsidRPr="005E59DD">
              <w:rPr>
                <w:rFonts w:ascii="Roboto" w:hAnsi="Roboto"/>
                <w:sz w:val="20"/>
                <w:szCs w:val="20"/>
              </w:rPr>
              <w:t>siguientes</w:t>
            </w:r>
            <w:proofErr w:type="spellEnd"/>
            <w:r w:rsidR="005E59DD" w:rsidRPr="005E59DD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5E59DD" w:rsidRPr="005E59DD">
              <w:rPr>
                <w:rFonts w:ascii="Roboto" w:hAnsi="Roboto"/>
                <w:sz w:val="20"/>
                <w:szCs w:val="20"/>
              </w:rPr>
              <w:t>motivos</w:t>
            </w:r>
            <w:proofErr w:type="spellEnd"/>
            <w:r w:rsidR="005E59DD" w:rsidRPr="005E59DD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5E59DD" w:rsidRPr="005E59DD">
              <w:rPr>
                <w:rFonts w:ascii="Roboto" w:hAnsi="Roboto"/>
                <w:sz w:val="20"/>
                <w:szCs w:val="20"/>
              </w:rPr>
              <w:t>permitidos</w:t>
            </w:r>
            <w:proofErr w:type="spellEnd"/>
            <w:r w:rsidR="005E59DD" w:rsidRPr="005E59DD">
              <w:rPr>
                <w:rFonts w:ascii="Roboto" w:hAnsi="Roboto"/>
                <w:sz w:val="20"/>
                <w:szCs w:val="20"/>
              </w:rPr>
              <w:t>:</w:t>
            </w:r>
          </w:p>
        </w:tc>
      </w:tr>
      <w:tr w:rsidR="00D1742C" w:rsidRPr="0011422A" w14:paraId="357F81E4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D8EDA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E3B8D" w14:textId="425EF72C" w:rsidR="00D1742C" w:rsidRPr="006A76D5" w:rsidRDefault="00EB47B2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EB47B2">
              <w:rPr>
                <w:rFonts w:ascii="Roboto" w:hAnsi="Roboto"/>
                <w:sz w:val="20"/>
                <w:szCs w:val="20"/>
              </w:rPr>
              <w:t xml:space="preserve">Una </w:t>
            </w:r>
            <w:proofErr w:type="spellStart"/>
            <w:r w:rsidRPr="00EB47B2">
              <w:rPr>
                <w:rFonts w:ascii="Roboto" w:hAnsi="Roboto"/>
                <w:sz w:val="20"/>
                <w:szCs w:val="20"/>
              </w:rPr>
              <w:t>denegación</w:t>
            </w:r>
            <w:proofErr w:type="spellEnd"/>
            <w:r w:rsidRPr="00EB47B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EB47B2">
              <w:rPr>
                <w:rFonts w:ascii="Roboto" w:hAnsi="Roboto"/>
                <w:sz w:val="20"/>
                <w:szCs w:val="20"/>
              </w:rPr>
              <w:t>errónea</w:t>
            </w:r>
            <w:proofErr w:type="spellEnd"/>
            <w:r w:rsidRPr="00EB47B2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Pr="00EB47B2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Pr="00EB47B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EB47B2">
              <w:rPr>
                <w:rFonts w:ascii="Roboto" w:hAnsi="Roboto"/>
                <w:sz w:val="20"/>
                <w:szCs w:val="20"/>
              </w:rPr>
              <w:t>solicitud</w:t>
            </w:r>
            <w:proofErr w:type="spellEnd"/>
            <w:r w:rsidRPr="00EB47B2">
              <w:rPr>
                <w:rFonts w:ascii="Roboto" w:hAnsi="Roboto"/>
                <w:sz w:val="20"/>
                <w:szCs w:val="20"/>
              </w:rPr>
              <w:t xml:space="preserve"> de W-2, </w:t>
            </w:r>
            <w:r w:rsidR="00F72FBE">
              <w:rPr>
                <w:rFonts w:ascii="Roboto" w:hAnsi="Roboto"/>
                <w:sz w:val="20"/>
                <w:szCs w:val="20"/>
              </w:rPr>
              <w:t>EA</w:t>
            </w:r>
            <w:r w:rsidRPr="00EB47B2">
              <w:rPr>
                <w:rFonts w:ascii="Roboto" w:hAnsi="Roboto"/>
                <w:sz w:val="20"/>
                <w:szCs w:val="20"/>
              </w:rPr>
              <w:t xml:space="preserve">, o </w:t>
            </w:r>
            <w:r w:rsidR="00F72FBE">
              <w:rPr>
                <w:rFonts w:ascii="Roboto" w:hAnsi="Roboto"/>
                <w:sz w:val="20"/>
                <w:szCs w:val="20"/>
              </w:rPr>
              <w:t>JAL</w:t>
            </w:r>
            <w:r w:rsidR="00D1742C" w:rsidRPr="006A76D5">
              <w:rPr>
                <w:rFonts w:ascii="Roboto" w:hAnsi="Roboto"/>
                <w:sz w:val="20"/>
                <w:szCs w:val="20"/>
              </w:rPr>
              <w:t>;</w:t>
            </w:r>
          </w:p>
        </w:tc>
      </w:tr>
      <w:tr w:rsidR="00D1742C" w:rsidRPr="0011422A" w14:paraId="1EC8D849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6D06E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70C89" w14:textId="16E2CE8E" w:rsidR="00D1742C" w:rsidRPr="006A76D5" w:rsidRDefault="003E2635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3E2635">
              <w:rPr>
                <w:rFonts w:ascii="Roboto" w:hAnsi="Roboto"/>
                <w:sz w:val="20"/>
                <w:szCs w:val="20"/>
              </w:rPr>
              <w:t xml:space="preserve">La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agencia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no ha dado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curso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a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solicitud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de W-2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en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un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plazo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de 12 días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hábiles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o de hasta 30 días naturales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si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se ha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necesitado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más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tiempo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para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obtener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la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verificación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requerida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>;</w:t>
            </w:r>
          </w:p>
        </w:tc>
      </w:tr>
      <w:tr w:rsidR="00D1742C" w:rsidRPr="0011422A" w14:paraId="71EE57D4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E2D4E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CD970" w14:textId="6044320B" w:rsidR="00D1742C" w:rsidRPr="006A76D5" w:rsidRDefault="003E2635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3E2635">
              <w:rPr>
                <w:rFonts w:ascii="Roboto" w:hAnsi="Roboto"/>
                <w:sz w:val="20"/>
                <w:szCs w:val="20"/>
              </w:rPr>
              <w:t xml:space="preserve">La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agencia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no ha dado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curso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a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solicitud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de </w:t>
            </w:r>
            <w:r w:rsidR="00F72FBE">
              <w:rPr>
                <w:rFonts w:ascii="Roboto" w:hAnsi="Roboto"/>
                <w:sz w:val="20"/>
                <w:szCs w:val="20"/>
              </w:rPr>
              <w:t>JAL</w:t>
            </w:r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en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el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plazo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de 12 días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hábiles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>;</w:t>
            </w:r>
          </w:p>
        </w:tc>
      </w:tr>
      <w:tr w:rsidR="00D1742C" w:rsidRPr="0011422A" w14:paraId="42666356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C5E6B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F1931" w14:textId="58FAF302" w:rsidR="00D1742C" w:rsidRPr="006A76D5" w:rsidRDefault="003E2635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3E2635">
              <w:rPr>
                <w:rFonts w:ascii="Roboto" w:hAnsi="Roboto"/>
                <w:sz w:val="20"/>
                <w:szCs w:val="20"/>
              </w:rPr>
              <w:t xml:space="preserve">La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agencia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no ha dado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curso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a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solicitud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de </w:t>
            </w:r>
            <w:r w:rsidR="00F72FBE">
              <w:rPr>
                <w:rFonts w:ascii="Roboto" w:hAnsi="Roboto"/>
                <w:sz w:val="20"/>
                <w:szCs w:val="20"/>
              </w:rPr>
              <w:t>EA</w:t>
            </w:r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en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el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plazo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 xml:space="preserve"> de 5 días </w:t>
            </w:r>
            <w:proofErr w:type="spellStart"/>
            <w:r w:rsidRPr="003E2635">
              <w:rPr>
                <w:rFonts w:ascii="Roboto" w:hAnsi="Roboto"/>
                <w:sz w:val="20"/>
                <w:szCs w:val="20"/>
              </w:rPr>
              <w:t>hábiles</w:t>
            </w:r>
            <w:proofErr w:type="spellEnd"/>
            <w:r w:rsidRPr="003E2635">
              <w:rPr>
                <w:rFonts w:ascii="Roboto" w:hAnsi="Roboto"/>
                <w:sz w:val="20"/>
                <w:szCs w:val="20"/>
              </w:rPr>
              <w:t>;</w:t>
            </w:r>
          </w:p>
        </w:tc>
      </w:tr>
      <w:tr w:rsidR="00D1742C" w:rsidRPr="0011422A" w14:paraId="3E418E65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DC1DE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4381" w14:textId="65938230" w:rsidR="00D1742C" w:rsidRPr="006A76D5" w:rsidRDefault="000030C0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0030C0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Pr="000030C0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0030C0">
              <w:rPr>
                <w:rFonts w:ascii="Roboto" w:hAnsi="Roboto"/>
                <w:sz w:val="20"/>
                <w:szCs w:val="20"/>
              </w:rPr>
              <w:t>importe</w:t>
            </w:r>
            <w:proofErr w:type="spellEnd"/>
            <w:r w:rsidRPr="000030C0">
              <w:rPr>
                <w:rFonts w:ascii="Roboto" w:hAnsi="Roboto"/>
                <w:sz w:val="20"/>
                <w:szCs w:val="20"/>
              </w:rPr>
              <w:t xml:space="preserve"> de </w:t>
            </w:r>
            <w:r w:rsidR="00F72FBE">
              <w:rPr>
                <w:rFonts w:ascii="Roboto" w:hAnsi="Roboto"/>
                <w:sz w:val="20"/>
                <w:szCs w:val="20"/>
              </w:rPr>
              <w:t>EA</w:t>
            </w:r>
            <w:r w:rsidRPr="000030C0">
              <w:rPr>
                <w:rFonts w:ascii="Roboto" w:hAnsi="Roboto"/>
                <w:sz w:val="20"/>
                <w:szCs w:val="20"/>
              </w:rPr>
              <w:t xml:space="preserve"> era </w:t>
            </w:r>
            <w:proofErr w:type="spellStart"/>
            <w:r w:rsidRPr="000030C0">
              <w:rPr>
                <w:rFonts w:ascii="Roboto" w:hAnsi="Roboto"/>
                <w:sz w:val="20"/>
                <w:szCs w:val="20"/>
              </w:rPr>
              <w:t>incorrecto</w:t>
            </w:r>
            <w:proofErr w:type="spellEnd"/>
            <w:r w:rsidR="00845403">
              <w:rPr>
                <w:rFonts w:ascii="Roboto" w:hAnsi="Roboto"/>
                <w:sz w:val="20"/>
                <w:szCs w:val="20"/>
              </w:rPr>
              <w:t>;</w:t>
            </w:r>
          </w:p>
        </w:tc>
      </w:tr>
      <w:tr w:rsidR="00D1742C" w:rsidRPr="0011422A" w14:paraId="5FD9CFB6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08D0F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06685" w14:textId="74EDA6E7" w:rsidR="00D1742C" w:rsidRPr="006A76D5" w:rsidRDefault="00F72FBE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colocación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en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un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puesto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trabajo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de W-2 es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incorrecta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>;</w:t>
            </w:r>
          </w:p>
        </w:tc>
      </w:tr>
      <w:tr w:rsidR="00631650" w:rsidRPr="0011422A" w14:paraId="2C12B8F2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25953" w14:textId="77777777" w:rsidR="00631650" w:rsidRPr="006A76D5" w:rsidRDefault="00631650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9A7AE" w14:textId="5F23A444" w:rsidR="00631650" w:rsidRPr="006A76D5" w:rsidRDefault="00F72FBE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colocación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en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servicios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gestión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de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casos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para personas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preparadas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para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el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empleo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(CMJ) de W-2 es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incorrecta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>;</w:t>
            </w:r>
          </w:p>
        </w:tc>
      </w:tr>
      <w:tr w:rsidR="00D1742C" w:rsidRPr="0011422A" w14:paraId="2C75B8A7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DE3C5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7DDD2" w14:textId="2602007D" w:rsidR="00D1742C" w:rsidRPr="006A76D5" w:rsidRDefault="00F72FBE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pago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de W-2 ha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finalizado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o se ha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reducido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por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error;</w:t>
            </w:r>
          </w:p>
        </w:tc>
      </w:tr>
      <w:tr w:rsidR="001504FD" w:rsidRPr="0011422A" w14:paraId="369E0F6B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D63D0" w14:textId="77777777" w:rsidR="001504FD" w:rsidRPr="006A76D5" w:rsidRDefault="001504FD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AFB0D" w14:textId="74BE86C2" w:rsidR="001504FD" w:rsidRPr="001504FD" w:rsidRDefault="006D5F8D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D5F8D">
              <w:rPr>
                <w:rFonts w:ascii="Roboto" w:hAnsi="Roboto"/>
                <w:sz w:val="20"/>
                <w:szCs w:val="20"/>
                <w:lang w:val="es-MX"/>
              </w:rPr>
              <w:t>Su caso de W-2 cerró por error.</w:t>
            </w:r>
          </w:p>
        </w:tc>
      </w:tr>
      <w:tr w:rsidR="00D1742C" w:rsidRPr="0011422A" w14:paraId="7F97E506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99FC8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CCBCC" w14:textId="77777777" w:rsidR="00D1742C" w:rsidRDefault="00F72FBE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Su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pago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de W-2 ha </w:t>
            </w:r>
            <w:proofErr w:type="spellStart"/>
            <w:r w:rsidRPr="00F72FBE">
              <w:rPr>
                <w:rFonts w:ascii="Roboto" w:hAnsi="Roboto"/>
                <w:sz w:val="20"/>
                <w:szCs w:val="20"/>
              </w:rPr>
              <w:t>sido</w:t>
            </w:r>
            <w:proofErr w:type="spellEnd"/>
            <w:r w:rsidRPr="00F72FBE">
              <w:rPr>
                <w:rFonts w:ascii="Roboto" w:hAnsi="Roboto"/>
                <w:sz w:val="20"/>
                <w:szCs w:val="20"/>
              </w:rPr>
              <w:t xml:space="preserve"> objeto de un pago excesivo por error; </w:t>
            </w:r>
          </w:p>
          <w:p w14:paraId="2CB38F94" w14:textId="41A740E3" w:rsidR="00D717C6" w:rsidRPr="006A76D5" w:rsidRDefault="005169CB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</w:t>
            </w:r>
            <w:r w:rsidR="00D717C6" w:rsidRPr="00D717C6">
              <w:rPr>
                <w:rFonts w:ascii="Roboto" w:hAnsi="Roboto"/>
                <w:sz w:val="20"/>
                <w:szCs w:val="20"/>
              </w:rPr>
              <w:t>ecib</w:t>
            </w:r>
            <w:r w:rsidR="00D717C6">
              <w:rPr>
                <w:rFonts w:ascii="Roboto" w:hAnsi="Roboto"/>
                <w:sz w:val="20"/>
                <w:szCs w:val="20"/>
              </w:rPr>
              <w:t>i</w:t>
            </w:r>
            <w:r w:rsidR="00D717C6" w:rsidRPr="00D717C6">
              <w:rPr>
                <w:rFonts w:ascii="Roboto" w:hAnsi="Roboto"/>
                <w:sz w:val="20"/>
                <w:szCs w:val="20"/>
              </w:rPr>
              <w:t>ó una Infraccion Intenciónal del Programa incorrecta</w:t>
            </w:r>
            <w:r w:rsidR="004B1FE4">
              <w:rPr>
                <w:rFonts w:ascii="Roboto" w:hAnsi="Roboto"/>
                <w:sz w:val="20"/>
                <w:szCs w:val="20"/>
              </w:rPr>
              <w:t>;</w:t>
            </w:r>
          </w:p>
        </w:tc>
      </w:tr>
      <w:tr w:rsidR="001504FD" w:rsidRPr="0011422A" w14:paraId="44D94E7F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1186D" w14:textId="77777777" w:rsidR="001504FD" w:rsidRPr="006A76D5" w:rsidRDefault="001504FD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2E8CA" w14:textId="43722F60" w:rsidR="001504FD" w:rsidRPr="006A76D5" w:rsidRDefault="006D5F8D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D5F8D">
              <w:rPr>
                <w:rFonts w:ascii="Roboto" w:hAnsi="Roboto"/>
                <w:sz w:val="20"/>
                <w:szCs w:val="20"/>
                <w:lang w:val="es-MX"/>
              </w:rPr>
              <w:t>Le dio una penalización de Learnfare por error</w:t>
            </w:r>
            <w:r>
              <w:rPr>
                <w:rFonts w:ascii="Roboto" w:hAnsi="Roboto"/>
                <w:sz w:val="20"/>
                <w:szCs w:val="20"/>
                <w:lang w:val="es-MX"/>
              </w:rPr>
              <w:t>,</w:t>
            </w:r>
            <w:r w:rsidRPr="006D5F8D">
              <w:rPr>
                <w:rFonts w:ascii="Roboto" w:hAnsi="Roboto"/>
                <w:sz w:val="20"/>
                <w:szCs w:val="20"/>
              </w:rPr>
              <w:t xml:space="preserve"> </w:t>
            </w:r>
            <w:r w:rsidR="00F72FBE" w:rsidRPr="00F72FBE">
              <w:rPr>
                <w:rFonts w:ascii="Roboto" w:hAnsi="Roboto"/>
                <w:sz w:val="20"/>
                <w:szCs w:val="20"/>
              </w:rPr>
              <w:t>o bien</w:t>
            </w:r>
          </w:p>
        </w:tc>
      </w:tr>
      <w:tr w:rsidR="00D1742C" w:rsidRPr="0011422A" w14:paraId="2BDABDFA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A033B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A9F37" w14:textId="258BEC57" w:rsidR="00D1742C" w:rsidRPr="006A76D5" w:rsidRDefault="00F72FBE" w:rsidP="00C96CD4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F72FBE">
              <w:rPr>
                <w:rFonts w:ascii="Roboto" w:hAnsi="Roboto"/>
                <w:sz w:val="20"/>
                <w:szCs w:val="20"/>
              </w:rPr>
              <w:t>Se denegó su solicitud de buen motivo de no cooperación con la manutención de los hijos por motivos justificados.</w:t>
            </w:r>
          </w:p>
        </w:tc>
      </w:tr>
      <w:tr w:rsidR="00D1742C" w:rsidRPr="0011422A" w14:paraId="5EB96200" w14:textId="77777777" w:rsidTr="009E115D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6D942" w14:textId="77777777" w:rsidR="00BC2D17" w:rsidRPr="006A76D5" w:rsidRDefault="00BC2D17" w:rsidP="00D86F65">
            <w:pPr>
              <w:spacing w:before="80"/>
              <w:rPr>
                <w:rFonts w:ascii="Roboto" w:hAnsi="Roboto"/>
                <w:szCs w:val="18"/>
              </w:rPr>
            </w:pPr>
          </w:p>
        </w:tc>
      </w:tr>
      <w:tr w:rsidR="00BC2D17" w:rsidRPr="0011422A" w14:paraId="577E4DF1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171DC" w14:textId="62EECAA6" w:rsidR="00BC2D17" w:rsidRPr="006A76D5" w:rsidRDefault="009E115D" w:rsidP="00D86F65">
            <w:pPr>
              <w:spacing w:before="8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>3</w:t>
            </w: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9BB2C" w14:textId="52325435" w:rsidR="00BC2D17" w:rsidRPr="006A76D5" w:rsidRDefault="00B76DF2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  <w:r w:rsidRPr="00D86F6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F65">
              <w:rPr>
                <w:sz w:val="20"/>
                <w:szCs w:val="20"/>
              </w:rPr>
              <w:instrText xml:space="preserve"> FORMCHECKBOX </w:instrText>
            </w:r>
            <w:r w:rsidR="00DD2083">
              <w:rPr>
                <w:sz w:val="20"/>
                <w:szCs w:val="20"/>
              </w:rPr>
            </w:r>
            <w:r w:rsidR="00DD2083">
              <w:rPr>
                <w:sz w:val="20"/>
                <w:szCs w:val="20"/>
              </w:rPr>
              <w:fldChar w:fldCharType="separate"/>
            </w:r>
            <w:r w:rsidRPr="00D86F65">
              <w:rPr>
                <w:sz w:val="20"/>
                <w:szCs w:val="20"/>
              </w:rPr>
              <w:fldChar w:fldCharType="end"/>
            </w:r>
            <w:r w:rsidR="00441109">
              <w:rPr>
                <w:sz w:val="20"/>
                <w:szCs w:val="20"/>
              </w:rPr>
              <w:t xml:space="preserve"> </w:t>
            </w:r>
            <w:r w:rsidR="00F72FBE" w:rsidRPr="00F72FBE">
              <w:rPr>
                <w:rFonts w:ascii="Roboto" w:hAnsi="Roboto"/>
                <w:sz w:val="20"/>
                <w:szCs w:val="20"/>
              </w:rPr>
              <w:t>Ya ha solicitado una investigación de la Determinación de Hechos y la ha abandonado sin un buen motivo.</w:t>
            </w:r>
          </w:p>
        </w:tc>
      </w:tr>
      <w:tr w:rsidR="00D32C1B" w:rsidRPr="0011422A" w14:paraId="3FEA1E5F" w14:textId="77777777" w:rsidTr="00CF1808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7EDCA" w14:textId="1B67B6E0" w:rsidR="00D32C1B" w:rsidRDefault="00D32C1B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</w:tr>
      <w:tr w:rsidR="00EF553F" w:rsidRPr="0011422A" w14:paraId="3AC4482B" w14:textId="77777777" w:rsidTr="009E115D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C1BD3" w14:textId="4E38319E" w:rsidR="00EF553F" w:rsidRPr="006A76D5" w:rsidRDefault="00F72FBE" w:rsidP="00EF553F">
            <w:pPr>
              <w:rPr>
                <w:rFonts w:ascii="Roboto" w:hAnsi="Roboto"/>
                <w:sz w:val="20"/>
                <w:szCs w:val="20"/>
              </w:rPr>
            </w:pPr>
            <w:r w:rsidRPr="00F72FBE">
              <w:rPr>
                <w:rFonts w:ascii="Roboto" w:hAnsi="Roboto"/>
                <w:sz w:val="20"/>
                <w:szCs w:val="20"/>
              </w:rPr>
              <w:t xml:space="preserve">Si desea discutir su queja, </w:t>
            </w:r>
            <w:r w:rsidR="00ED2962" w:rsidRPr="00E74A27">
              <w:rPr>
                <w:rFonts w:ascii="Roboto" w:hAnsi="Roboto" w:cs="Arial"/>
                <w:sz w:val="20"/>
                <w:szCs w:val="20"/>
                <w:lang w:val="es-ES"/>
              </w:rPr>
              <w:t xml:space="preserve">en primer lugar llame a </w:t>
            </w:r>
            <w:r w:rsidR="00ED2962" w:rsidRPr="00E74A27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ED2962" w:rsidRPr="00E74A27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ED2962" w:rsidRPr="00E74A27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="00ED2962" w:rsidRPr="00E74A27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="005A5E76">
              <w:rPr>
                <w:rFonts w:ascii="Garamond" w:hAnsi="Garamond" w:cs="Arial"/>
                <w:sz w:val="22"/>
                <w:szCs w:val="22"/>
                <w:highlight w:val="lightGray"/>
              </w:rPr>
              <w:t> </w:t>
            </w:r>
            <w:r w:rsidR="005A5E76">
              <w:rPr>
                <w:rFonts w:ascii="Garamond" w:hAnsi="Garamond" w:cs="Arial"/>
                <w:sz w:val="22"/>
                <w:szCs w:val="22"/>
                <w:highlight w:val="lightGray"/>
              </w:rPr>
              <w:t> </w:t>
            </w:r>
            <w:r w:rsidR="005A5E76">
              <w:rPr>
                <w:rFonts w:ascii="Garamond" w:hAnsi="Garamond" w:cs="Arial"/>
                <w:sz w:val="22"/>
                <w:szCs w:val="22"/>
                <w:highlight w:val="lightGray"/>
              </w:rPr>
              <w:t> </w:t>
            </w:r>
            <w:r w:rsidR="005A5E76">
              <w:rPr>
                <w:rFonts w:ascii="Garamond" w:hAnsi="Garamond" w:cs="Arial"/>
                <w:sz w:val="22"/>
                <w:szCs w:val="22"/>
                <w:highlight w:val="lightGray"/>
              </w:rPr>
              <w:t> </w:t>
            </w:r>
            <w:r w:rsidR="005A5E76">
              <w:rPr>
                <w:rFonts w:ascii="Garamond" w:hAnsi="Garamond" w:cs="Arial"/>
                <w:sz w:val="22"/>
                <w:szCs w:val="22"/>
                <w:highlight w:val="lightGray"/>
              </w:rPr>
              <w:t> </w:t>
            </w:r>
            <w:r w:rsidR="00ED2962" w:rsidRPr="00E74A27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="00ED2962" w:rsidRPr="00E74A27">
              <w:rPr>
                <w:rFonts w:ascii="Roboto" w:hAnsi="Roboto" w:cs="Arial"/>
                <w:sz w:val="20"/>
                <w:szCs w:val="20"/>
                <w:lang w:val="es-ES"/>
              </w:rPr>
              <w:t xml:space="preserve"> al siguiente número: </w:t>
            </w:r>
            <w:r w:rsidR="00ED2962" w:rsidRPr="00E74A27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D2962" w:rsidRPr="00E74A27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ED2962" w:rsidRPr="00E74A27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="00ED2962" w:rsidRPr="00E74A27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="005A5E76">
              <w:rPr>
                <w:rFonts w:ascii="Garamond" w:hAnsi="Garamond" w:cs="Arial"/>
                <w:sz w:val="22"/>
                <w:szCs w:val="22"/>
                <w:highlight w:val="lightGray"/>
              </w:rPr>
              <w:t> </w:t>
            </w:r>
            <w:r w:rsidR="005A5E76">
              <w:rPr>
                <w:rFonts w:ascii="Garamond" w:hAnsi="Garamond" w:cs="Arial"/>
                <w:sz w:val="22"/>
                <w:szCs w:val="22"/>
                <w:highlight w:val="lightGray"/>
              </w:rPr>
              <w:t> </w:t>
            </w:r>
            <w:r w:rsidR="005A5E76">
              <w:rPr>
                <w:rFonts w:ascii="Garamond" w:hAnsi="Garamond" w:cs="Arial"/>
                <w:sz w:val="22"/>
                <w:szCs w:val="22"/>
                <w:highlight w:val="lightGray"/>
              </w:rPr>
              <w:t> </w:t>
            </w:r>
            <w:r w:rsidR="005A5E76">
              <w:rPr>
                <w:rFonts w:ascii="Garamond" w:hAnsi="Garamond" w:cs="Arial"/>
                <w:sz w:val="22"/>
                <w:szCs w:val="22"/>
                <w:highlight w:val="lightGray"/>
              </w:rPr>
              <w:t> </w:t>
            </w:r>
            <w:r w:rsidR="005A5E76">
              <w:rPr>
                <w:rFonts w:ascii="Garamond" w:hAnsi="Garamond" w:cs="Arial"/>
                <w:sz w:val="22"/>
                <w:szCs w:val="22"/>
                <w:highlight w:val="lightGray"/>
              </w:rPr>
              <w:t> </w:t>
            </w:r>
            <w:r w:rsidR="00ED2962" w:rsidRPr="00E74A27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F72FBE">
              <w:rPr>
                <w:rFonts w:ascii="Roboto" w:hAnsi="Roboto"/>
                <w:sz w:val="20"/>
                <w:szCs w:val="20"/>
              </w:rPr>
              <w:t xml:space="preserve">. Si sigue teniendo alguna queja, puede llamar al servicio de atención al cliente de </w:t>
            </w:r>
            <w:r>
              <w:rPr>
                <w:rFonts w:ascii="Roboto" w:hAnsi="Roboto"/>
                <w:sz w:val="20"/>
                <w:szCs w:val="20"/>
              </w:rPr>
              <w:t>W-2, EA, o JAL</w:t>
            </w:r>
            <w:r w:rsidRPr="00F72FBE"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Pr="00F72FBE">
              <w:rPr>
                <w:rFonts w:ascii="Roboto" w:hAnsi="Roboto"/>
                <w:sz w:val="20"/>
                <w:szCs w:val="20"/>
              </w:rPr>
              <w:t>para Milwaukee</w:t>
            </w:r>
            <w:proofErr w:type="gramEnd"/>
            <w:r w:rsidRPr="00F72FBE">
              <w:rPr>
                <w:rFonts w:ascii="Roboto" w:hAnsi="Roboto"/>
                <w:sz w:val="20"/>
                <w:szCs w:val="20"/>
              </w:rPr>
              <w:t xml:space="preserve"> llamar a 414-270-4702; para agencias de fuera de Milwaukee llamar a 855-757-4539 (llamada gratuita).  También puede consultar el sitio web de Wisconsin Department of Children and Families: </w:t>
            </w:r>
            <w:hyperlink r:id="rId7" w:history="1">
              <w:r w:rsidR="00C46E66" w:rsidRPr="00BE670C">
                <w:rPr>
                  <w:rStyle w:val="Hyperlink"/>
                  <w:rFonts w:ascii="Roboto" w:hAnsi="Roboto"/>
                  <w:sz w:val="20"/>
                  <w:szCs w:val="20"/>
                </w:rPr>
                <w:t>https://dcf.wisconsin.gov/about-us/complaint</w:t>
              </w:r>
            </w:hyperlink>
            <w:r w:rsidR="00C46E66">
              <w:rPr>
                <w:rFonts w:ascii="Roboto" w:hAnsi="Roboto"/>
                <w:sz w:val="20"/>
                <w:szCs w:val="20"/>
              </w:rPr>
              <w:t xml:space="preserve">. </w:t>
            </w:r>
            <w:r w:rsidR="006D5F8D">
              <w:rPr>
                <w:rFonts w:ascii="Roboto" w:hAnsi="Roboto"/>
                <w:sz w:val="20"/>
                <w:szCs w:val="20"/>
              </w:rPr>
              <w:t>(</w:t>
            </w:r>
            <w:r w:rsidRPr="00F72FBE">
              <w:rPr>
                <w:rFonts w:ascii="Roboto" w:hAnsi="Roboto"/>
                <w:sz w:val="20"/>
                <w:szCs w:val="20"/>
              </w:rPr>
              <w:t>W-2/ Formato de reclamación general)</w:t>
            </w:r>
          </w:p>
        </w:tc>
      </w:tr>
    </w:tbl>
    <w:p w14:paraId="4A36AFEC" w14:textId="77777777" w:rsidR="00D1742C" w:rsidRPr="00930736" w:rsidRDefault="00D1742C">
      <w:pPr>
        <w:rPr>
          <w:rFonts w:ascii="Roboto" w:hAnsi="Roboto"/>
          <w:sz w:val="6"/>
          <w:szCs w:val="12"/>
        </w:rPr>
      </w:pPr>
    </w:p>
    <w:sectPr w:rsidR="00D1742C" w:rsidRPr="00930736" w:rsidSect="00AA3A77">
      <w:footerReference w:type="default" r:id="rId8"/>
      <w:headerReference w:type="first" r:id="rId9"/>
      <w:footerReference w:type="first" r:id="rId10"/>
      <w:pgSz w:w="12240" w:h="15840" w:code="1"/>
      <w:pgMar w:top="360" w:right="360" w:bottom="360" w:left="36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3ACD" w14:textId="77777777" w:rsidR="00C35A45" w:rsidRDefault="00C35A45">
      <w:r>
        <w:separator/>
      </w:r>
    </w:p>
  </w:endnote>
  <w:endnote w:type="continuationSeparator" w:id="0">
    <w:p w14:paraId="26B2A731" w14:textId="77777777" w:rsidR="00C35A45" w:rsidRDefault="00C3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8B68" w14:textId="5588F4AE" w:rsidR="006E45AB" w:rsidRPr="0093610F" w:rsidRDefault="00B66B6B">
    <w:pPr>
      <w:pStyle w:val="Footer"/>
      <w:tabs>
        <w:tab w:val="clear" w:pos="4320"/>
        <w:tab w:val="center" w:pos="5640"/>
      </w:tabs>
      <w:rPr>
        <w:rFonts w:ascii="Roboto" w:hAnsi="Roboto"/>
        <w:sz w:val="16"/>
        <w:szCs w:val="16"/>
      </w:rPr>
    </w:pPr>
    <w:r w:rsidRPr="0093610F">
      <w:rPr>
        <w:rFonts w:ascii="Roboto" w:hAnsi="Roboto"/>
        <w:sz w:val="16"/>
        <w:szCs w:val="16"/>
      </w:rPr>
      <w:t>DCF-F-2686</w:t>
    </w:r>
    <w:r w:rsidR="0093610F" w:rsidRPr="0093610F">
      <w:rPr>
        <w:rFonts w:ascii="Roboto" w:hAnsi="Roboto"/>
        <w:sz w:val="16"/>
        <w:szCs w:val="16"/>
      </w:rPr>
      <w:t>-E-S (R. 10/2023) (T. 10/2023)</w:t>
    </w:r>
    <w:r w:rsidR="002E338B" w:rsidRPr="0093610F">
      <w:rPr>
        <w:rFonts w:ascii="Roboto" w:hAnsi="Roboto"/>
        <w:sz w:val="16"/>
        <w:szCs w:val="16"/>
      </w:rPr>
      <w:ptab w:relativeTo="margin" w:alignment="center" w:leader="none"/>
    </w:r>
    <w:r w:rsidR="002E338B" w:rsidRPr="0093610F">
      <w:rPr>
        <w:rFonts w:ascii="Roboto" w:hAnsi="Roboto"/>
        <w:sz w:val="16"/>
        <w:szCs w:val="16"/>
      </w:rPr>
      <w:ptab w:relativeTo="margin" w:alignment="right" w:leader="none"/>
    </w:r>
    <w:r w:rsidR="0093610F" w:rsidRPr="0093610F">
      <w:rPr>
        <w:rFonts w:ascii="Roboto" w:hAnsi="Roboto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9BFF" w14:textId="67953954" w:rsidR="00A779EE" w:rsidRPr="00A779EE" w:rsidRDefault="00A779EE" w:rsidP="005A5E76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93610F">
      <w:rPr>
        <w:rFonts w:ascii="Roboto" w:hAnsi="Roboto"/>
        <w:sz w:val="16"/>
        <w:szCs w:val="16"/>
      </w:rPr>
      <w:t>DCF-F-2686-E-S (R. 1</w:t>
    </w:r>
    <w:r w:rsidR="0007389F">
      <w:rPr>
        <w:rFonts w:ascii="Roboto" w:hAnsi="Roboto"/>
        <w:sz w:val="16"/>
        <w:szCs w:val="16"/>
      </w:rPr>
      <w:t>2</w:t>
    </w:r>
    <w:r w:rsidRPr="0093610F">
      <w:rPr>
        <w:rFonts w:ascii="Roboto" w:hAnsi="Roboto"/>
        <w:sz w:val="16"/>
        <w:szCs w:val="16"/>
      </w:rPr>
      <w:t>/2023) (T. 1</w:t>
    </w:r>
    <w:r w:rsidR="0007389F">
      <w:rPr>
        <w:rFonts w:ascii="Roboto" w:hAnsi="Roboto"/>
        <w:sz w:val="16"/>
        <w:szCs w:val="16"/>
      </w:rPr>
      <w:t>2</w:t>
    </w:r>
    <w:r w:rsidRPr="0093610F">
      <w:rPr>
        <w:rFonts w:ascii="Roboto" w:hAnsi="Roboto"/>
        <w:sz w:val="16"/>
        <w:szCs w:val="16"/>
      </w:rPr>
      <w:t>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FF17" w14:textId="77777777" w:rsidR="00C35A45" w:rsidRDefault="00C35A45">
      <w:r>
        <w:separator/>
      </w:r>
    </w:p>
  </w:footnote>
  <w:footnote w:type="continuationSeparator" w:id="0">
    <w:p w14:paraId="50FF0AFC" w14:textId="77777777" w:rsidR="00C35A45" w:rsidRDefault="00C3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69AE" w14:textId="77777777" w:rsidR="0093610F" w:rsidRDefault="0093610F" w:rsidP="005A5E76">
    <w:pPr>
      <w:pStyle w:val="Header"/>
      <w:tabs>
        <w:tab w:val="clear" w:pos="4320"/>
        <w:tab w:val="clear" w:pos="8640"/>
      </w:tabs>
      <w:rPr>
        <w:rFonts w:ascii="Roboto" w:hAnsi="Roboto"/>
        <w:b/>
        <w:bCs/>
        <w:sz w:val="16"/>
        <w:szCs w:val="22"/>
      </w:rPr>
    </w:pPr>
    <w:r>
      <w:rPr>
        <w:rFonts w:ascii="Roboto" w:hAnsi="Roboto"/>
        <w:b/>
        <w:bCs/>
        <w:sz w:val="16"/>
        <w:szCs w:val="22"/>
      </w:rPr>
      <w:t>DEPARTMENT OF CHILDREN AND FAMILIES</w:t>
    </w:r>
  </w:p>
  <w:p w14:paraId="775C034D" w14:textId="31D271AF" w:rsidR="0093610F" w:rsidRPr="0093610F" w:rsidRDefault="0093610F">
    <w:pPr>
      <w:pStyle w:val="Header"/>
      <w:rPr>
        <w:rFonts w:ascii="Roboto" w:hAnsi="Roboto"/>
        <w:sz w:val="16"/>
        <w:szCs w:val="22"/>
      </w:rPr>
    </w:pPr>
    <w:r>
      <w:rPr>
        <w:rFonts w:ascii="Roboto" w:hAnsi="Roboto"/>
        <w:sz w:val="16"/>
        <w:szCs w:val="22"/>
      </w:rPr>
      <w:t>Division of 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C5"/>
    <w:multiLevelType w:val="multilevel"/>
    <w:tmpl w:val="1A9E9D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BD485C"/>
    <w:multiLevelType w:val="hybridMultilevel"/>
    <w:tmpl w:val="5A0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4A72"/>
    <w:multiLevelType w:val="hybridMultilevel"/>
    <w:tmpl w:val="02D04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E758D"/>
    <w:multiLevelType w:val="hybridMultilevel"/>
    <w:tmpl w:val="035ACD22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5DCB6F36"/>
    <w:multiLevelType w:val="hybridMultilevel"/>
    <w:tmpl w:val="5956BD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6961273">
    <w:abstractNumId w:val="4"/>
  </w:num>
  <w:num w:numId="2" w16cid:durableId="1330406001">
    <w:abstractNumId w:val="3"/>
  </w:num>
  <w:num w:numId="3" w16cid:durableId="1525632674">
    <w:abstractNumId w:val="0"/>
  </w:num>
  <w:num w:numId="4" w16cid:durableId="1686784193">
    <w:abstractNumId w:val="2"/>
  </w:num>
  <w:num w:numId="5" w16cid:durableId="5636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yYT7LJxRBdRzHnl0Cq6VoNcfwKXxwUTms7hN6jMzz2o1+IT997aI6pO1X5495yQKamHAnyUxfyETsAJAdeRWw==" w:salt="lRPRkn2q42HY0SJtUVmhH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8"/>
    <w:rsid w:val="000030C0"/>
    <w:rsid w:val="00027C72"/>
    <w:rsid w:val="00044CD7"/>
    <w:rsid w:val="00060D28"/>
    <w:rsid w:val="00065387"/>
    <w:rsid w:val="00066D73"/>
    <w:rsid w:val="0007389F"/>
    <w:rsid w:val="000A6DA3"/>
    <w:rsid w:val="000E098E"/>
    <w:rsid w:val="001030F4"/>
    <w:rsid w:val="0011422A"/>
    <w:rsid w:val="001504FD"/>
    <w:rsid w:val="00161B43"/>
    <w:rsid w:val="0019275D"/>
    <w:rsid w:val="00193688"/>
    <w:rsid w:val="001C1BD1"/>
    <w:rsid w:val="001D00F7"/>
    <w:rsid w:val="001E66E3"/>
    <w:rsid w:val="001F52FD"/>
    <w:rsid w:val="00232A43"/>
    <w:rsid w:val="00235276"/>
    <w:rsid w:val="00285815"/>
    <w:rsid w:val="002A0487"/>
    <w:rsid w:val="002B3EAC"/>
    <w:rsid w:val="002C6C96"/>
    <w:rsid w:val="002E338B"/>
    <w:rsid w:val="00306774"/>
    <w:rsid w:val="00370A6A"/>
    <w:rsid w:val="003737D8"/>
    <w:rsid w:val="00393F50"/>
    <w:rsid w:val="003C3A9B"/>
    <w:rsid w:val="003E2635"/>
    <w:rsid w:val="00441109"/>
    <w:rsid w:val="00470F5F"/>
    <w:rsid w:val="00471527"/>
    <w:rsid w:val="00471709"/>
    <w:rsid w:val="004B1FE4"/>
    <w:rsid w:val="004E4972"/>
    <w:rsid w:val="00500074"/>
    <w:rsid w:val="00506C8C"/>
    <w:rsid w:val="005169CB"/>
    <w:rsid w:val="00522211"/>
    <w:rsid w:val="00565B95"/>
    <w:rsid w:val="005A0B60"/>
    <w:rsid w:val="005A5E76"/>
    <w:rsid w:val="005D6582"/>
    <w:rsid w:val="005E59DD"/>
    <w:rsid w:val="00631650"/>
    <w:rsid w:val="006A76D5"/>
    <w:rsid w:val="006D14C0"/>
    <w:rsid w:val="006D5F8D"/>
    <w:rsid w:val="006E45AB"/>
    <w:rsid w:val="006E767A"/>
    <w:rsid w:val="00701C08"/>
    <w:rsid w:val="00740658"/>
    <w:rsid w:val="0074113D"/>
    <w:rsid w:val="0077348E"/>
    <w:rsid w:val="00780CB1"/>
    <w:rsid w:val="007A7580"/>
    <w:rsid w:val="0081019D"/>
    <w:rsid w:val="0081739C"/>
    <w:rsid w:val="00830548"/>
    <w:rsid w:val="00845403"/>
    <w:rsid w:val="0087004E"/>
    <w:rsid w:val="0087419C"/>
    <w:rsid w:val="008E7AEF"/>
    <w:rsid w:val="00930736"/>
    <w:rsid w:val="0093610F"/>
    <w:rsid w:val="00955E97"/>
    <w:rsid w:val="00962FBA"/>
    <w:rsid w:val="0097261F"/>
    <w:rsid w:val="009A34EE"/>
    <w:rsid w:val="009D4A35"/>
    <w:rsid w:val="009E115D"/>
    <w:rsid w:val="00A27834"/>
    <w:rsid w:val="00A55387"/>
    <w:rsid w:val="00A779EE"/>
    <w:rsid w:val="00A833DD"/>
    <w:rsid w:val="00A8343B"/>
    <w:rsid w:val="00A9336D"/>
    <w:rsid w:val="00AA3A77"/>
    <w:rsid w:val="00AC44ED"/>
    <w:rsid w:val="00B06044"/>
    <w:rsid w:val="00B13AE2"/>
    <w:rsid w:val="00B163DE"/>
    <w:rsid w:val="00B577D6"/>
    <w:rsid w:val="00B61496"/>
    <w:rsid w:val="00B66B6B"/>
    <w:rsid w:val="00B76DF2"/>
    <w:rsid w:val="00B924EF"/>
    <w:rsid w:val="00BC2D17"/>
    <w:rsid w:val="00BE1AD4"/>
    <w:rsid w:val="00C27762"/>
    <w:rsid w:val="00C35A45"/>
    <w:rsid w:val="00C46E66"/>
    <w:rsid w:val="00C523AB"/>
    <w:rsid w:val="00C55924"/>
    <w:rsid w:val="00C612E2"/>
    <w:rsid w:val="00C96CD4"/>
    <w:rsid w:val="00CA4C51"/>
    <w:rsid w:val="00CB0CAE"/>
    <w:rsid w:val="00CB7151"/>
    <w:rsid w:val="00CD1281"/>
    <w:rsid w:val="00CD7876"/>
    <w:rsid w:val="00D16437"/>
    <w:rsid w:val="00D1742C"/>
    <w:rsid w:val="00D32C1B"/>
    <w:rsid w:val="00D717C6"/>
    <w:rsid w:val="00D86F65"/>
    <w:rsid w:val="00D91EC7"/>
    <w:rsid w:val="00DA6289"/>
    <w:rsid w:val="00DB034B"/>
    <w:rsid w:val="00DD2083"/>
    <w:rsid w:val="00DD6DAA"/>
    <w:rsid w:val="00E25C24"/>
    <w:rsid w:val="00E30028"/>
    <w:rsid w:val="00E7381B"/>
    <w:rsid w:val="00E85866"/>
    <w:rsid w:val="00E90188"/>
    <w:rsid w:val="00E93BFA"/>
    <w:rsid w:val="00EB47B2"/>
    <w:rsid w:val="00EC1D32"/>
    <w:rsid w:val="00ED2962"/>
    <w:rsid w:val="00EE0F1B"/>
    <w:rsid w:val="00EE2055"/>
    <w:rsid w:val="00EF093E"/>
    <w:rsid w:val="00EF553F"/>
    <w:rsid w:val="00F12B8B"/>
    <w:rsid w:val="00F2004E"/>
    <w:rsid w:val="00F4339C"/>
    <w:rsid w:val="00F6770F"/>
    <w:rsid w:val="00F72FBE"/>
    <w:rsid w:val="00F977F0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EBE41"/>
  <w15:chartTrackingRefBased/>
  <w15:docId w15:val="{6351DA0B-0190-46AA-85B7-D57D8328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rsid w:val="00060D2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A7580"/>
    <w:rPr>
      <w:color w:val="954F72"/>
      <w:u w:val="single"/>
    </w:rPr>
  </w:style>
  <w:style w:type="character" w:styleId="CommentReference">
    <w:name w:val="annotation reference"/>
    <w:basedOn w:val="DefaultParagraphFont"/>
    <w:rsid w:val="00E901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188"/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rsid w:val="00E90188"/>
    <w:rPr>
      <w:rFonts w:ascii="Arial" w:hAnsi="Arial"/>
      <w:szCs w:val="32"/>
      <w:lang w:bidi="km-KH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0188"/>
    <w:rPr>
      <w:rFonts w:ascii="Arial" w:hAnsi="Arial"/>
      <w:b/>
      <w:bCs/>
      <w:szCs w:val="32"/>
      <w:lang w:bidi="km-KH"/>
    </w:rPr>
  </w:style>
  <w:style w:type="paragraph" w:styleId="ListParagraph">
    <w:name w:val="List Paragraph"/>
    <w:basedOn w:val="Normal"/>
    <w:uiPriority w:val="34"/>
    <w:qFormat/>
    <w:rsid w:val="00E901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88"/>
    <w:rPr>
      <w:rFonts w:ascii="Tahoma" w:hAnsi="Tahoma" w:cs="Tahoma"/>
      <w:sz w:val="16"/>
      <w:szCs w:val="16"/>
      <w:lang w:bidi="km-KH"/>
    </w:rPr>
  </w:style>
  <w:style w:type="character" w:customStyle="1" w:styleId="DLSVAR">
    <w:name w:val="DLSVAR"/>
    <w:rsid w:val="00500074"/>
    <w:rPr>
      <w:color w:val="FF0000"/>
    </w:rPr>
  </w:style>
  <w:style w:type="character" w:customStyle="1" w:styleId="DLSFMT">
    <w:name w:val="DLSFMT"/>
    <w:rsid w:val="00500074"/>
    <w:rPr>
      <w:strike w:val="0"/>
      <w:dstrike w:val="0"/>
      <w:vanish/>
      <w:webHidden w:val="0"/>
      <w:u w:val="none"/>
      <w:effect w:val="none"/>
      <w:vertAlign w:val="baseline"/>
      <w:specVanish w:val="0"/>
    </w:rPr>
  </w:style>
  <w:style w:type="paragraph" w:styleId="Revision">
    <w:name w:val="Revision"/>
    <w:hidden/>
    <w:uiPriority w:val="99"/>
    <w:semiHidden/>
    <w:rsid w:val="00BE1AD4"/>
    <w:rPr>
      <w:rFonts w:ascii="Arial" w:hAnsi="Arial"/>
      <w:sz w:val="18"/>
      <w:szCs w:val="24"/>
      <w:lang w:bidi="km-KH"/>
    </w:rPr>
  </w:style>
  <w:style w:type="paragraph" w:customStyle="1" w:styleId="TableParagraph">
    <w:name w:val="Table Paragraph"/>
    <w:basedOn w:val="Normal"/>
    <w:uiPriority w:val="1"/>
    <w:qFormat/>
    <w:rsid w:val="002E338B"/>
    <w:pPr>
      <w:widowControl w:val="0"/>
      <w:autoSpaceDE w:val="0"/>
      <w:autoSpaceDN w:val="0"/>
      <w:spacing w:before="86"/>
      <w:ind w:left="84"/>
    </w:pPr>
    <w:rPr>
      <w:rFonts w:eastAsia="Arial" w:cs="Arial"/>
      <w:sz w:val="22"/>
      <w:szCs w:val="2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4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cf.wisconsin.gov/about-us/compla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Finding Review Denial Notice (Spanish), DCF-F-2686-E-S</vt:lpstr>
    </vt:vector>
  </TitlesOfParts>
  <Company>DCF - State of Wisconsin</Company>
  <LinksUpToDate>false</LinksUpToDate>
  <CharactersWithSpaces>3262</CharactersWithSpaces>
  <SharedDoc>false</SharedDoc>
  <HLinks>
    <vt:vector size="6" baseType="variant">
      <vt:variant>
        <vt:i4>589845</vt:i4>
      </vt:variant>
      <vt:variant>
        <vt:i4>36</vt:i4>
      </vt:variant>
      <vt:variant>
        <vt:i4>0</vt:i4>
      </vt:variant>
      <vt:variant>
        <vt:i4>5</vt:i4>
      </vt:variant>
      <vt:variant>
        <vt:lpwstr>https://dcf.wisconsin.gov/about-us/complaint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Finding Review Denial Notice (Spanish), DCF-F-2686-E-S</dc:title>
  <dc:subject>Division of Family and Economic Security</dc:subject>
  <dc:creator/>
  <cp:keywords>department of children and families, division of family and economic security, bureau of working families, dcf-f-2686-e-s fact finding review dential notice, dcf-f-2686-e-s, fact finding review dential notice, fact finding review, notificación de denegación de determinación de hechos</cp:keywords>
  <dc:description>R. 12/2023. T. 12/2023.</dc:description>
  <cp:lastModifiedBy>Kramer, Kathleen M - DCF</cp:lastModifiedBy>
  <cp:revision>4</cp:revision>
  <cp:lastPrinted>2012-02-08T21:14:00Z</cp:lastPrinted>
  <dcterms:created xsi:type="dcterms:W3CDTF">2023-12-27T17:13:00Z</dcterms:created>
  <dcterms:modified xsi:type="dcterms:W3CDTF">2023-12-27T17:15:00Z</dcterms:modified>
  <cp:category>Forms</cp:category>
</cp:coreProperties>
</file>